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numPr>
          <w:ilvl w:val="2"/>
          <w:numId w:val="0"/>
        </w:numPr>
        <w:tabs>
          <w:tab w:val="clear" w:pos="720"/>
        </w:tabs>
        <w:spacing w:before="0" w:after="0" w:line="240" w:lineRule="auto"/>
        <w:ind w:left="1767" w:leftChars="0" w:hanging="1767" w:hangingChars="400"/>
        <w:rPr>
          <w:rFonts w:hint="eastAsia" w:ascii="黑体" w:hAnsi="黑体" w:eastAsia="黑体" w:cs="黑体"/>
          <w:color w:val="000000"/>
          <w:sz w:val="44"/>
          <w:szCs w:val="44"/>
        </w:rPr>
      </w:pPr>
      <w:bookmarkStart w:id="0" w:name="_Toc20835"/>
      <w:r>
        <w:rPr>
          <w:rFonts w:hint="eastAsia" w:ascii="黑体" w:hAnsi="黑体" w:eastAsia="黑体" w:cs="黑体"/>
          <w:color w:val="000000"/>
          <w:sz w:val="44"/>
          <w:szCs w:val="44"/>
          <w:lang w:eastAsia="zh-CN"/>
        </w:rPr>
        <w:t>普定县中医医院财务</w:t>
      </w:r>
      <w:r>
        <w:rPr>
          <w:rFonts w:hint="eastAsia" w:ascii="黑体" w:hAnsi="黑体" w:eastAsia="黑体" w:cs="黑体"/>
          <w:color w:val="000000"/>
          <w:sz w:val="44"/>
          <w:szCs w:val="44"/>
        </w:rPr>
        <w:t>综合运营精细化管理</w:t>
      </w:r>
      <w:r>
        <w:rPr>
          <w:rFonts w:hint="eastAsia" w:ascii="黑体" w:hAnsi="黑体" w:eastAsia="黑体" w:cs="黑体"/>
          <w:color w:val="000000"/>
          <w:sz w:val="44"/>
          <w:szCs w:val="44"/>
          <w:lang w:eastAsia="zh-CN"/>
        </w:rPr>
        <w:t>系统</w:t>
      </w:r>
      <w:r>
        <w:rPr>
          <w:rFonts w:hint="eastAsia" w:ascii="黑体" w:hAnsi="黑体" w:eastAsia="黑体" w:cs="黑体"/>
          <w:color w:val="000000"/>
          <w:sz w:val="44"/>
          <w:szCs w:val="44"/>
        </w:rPr>
        <w:t>项目建设内容概要</w:t>
      </w:r>
      <w:bookmarkEnd w:id="0"/>
    </w:p>
    <w:p>
      <w:pPr>
        <w:ind w:firstLine="480"/>
        <w:jc w:val="left"/>
        <w:rPr>
          <w:rFonts w:hint="eastAsia" w:ascii="微软雅黑" w:hAnsi="微软雅黑" w:eastAsia="微软雅黑" w:cs="宋体"/>
          <w:color w:val="000000"/>
          <w:sz w:val="24"/>
          <w:szCs w:val="24"/>
          <w:lang w:eastAsia="zh-CN"/>
        </w:rPr>
      </w:pPr>
    </w:p>
    <w:p>
      <w:pPr>
        <w:ind w:firstLine="480"/>
        <w:jc w:val="left"/>
        <w:rPr>
          <w:rFonts w:ascii="微软雅黑" w:hAnsi="微软雅黑" w:eastAsia="微软雅黑" w:cs="宋体"/>
          <w:b/>
          <w:bCs/>
          <w:color w:val="000000"/>
          <w:sz w:val="30"/>
          <w:szCs w:val="30"/>
        </w:rPr>
      </w:pPr>
      <w:r>
        <w:rPr>
          <w:rFonts w:hint="eastAsia" w:ascii="微软雅黑" w:hAnsi="微软雅黑" w:eastAsia="微软雅黑" w:cs="宋体"/>
          <w:b/>
          <w:bCs/>
          <w:color w:val="000000"/>
          <w:sz w:val="30"/>
          <w:szCs w:val="30"/>
          <w:lang w:eastAsia="zh-CN"/>
        </w:rPr>
        <w:t>一、</w:t>
      </w:r>
      <w:r>
        <w:rPr>
          <w:rFonts w:hint="eastAsia" w:ascii="微软雅黑" w:hAnsi="微软雅黑" w:eastAsia="微软雅黑" w:cs="宋体"/>
          <w:b/>
          <w:bCs/>
          <w:color w:val="000000"/>
          <w:sz w:val="30"/>
          <w:szCs w:val="30"/>
        </w:rPr>
        <w:t>本项目建设要求基于统一平台完成医院综合运营业务管理及相应的成本核算体系项目建设，内含的各分系统之间必须无缝衔接，统一运行：</w:t>
      </w:r>
    </w:p>
    <w:p>
      <w:pPr>
        <w:pStyle w:val="8"/>
        <w:numPr>
          <w:ilvl w:val="0"/>
          <w:numId w:val="2"/>
        </w:numPr>
        <w:ind w:left="770" w:hanging="486"/>
        <w:rPr>
          <w:rFonts w:ascii="微软雅黑" w:hAnsi="微软雅黑" w:eastAsia="微软雅黑" w:cs="宋体"/>
          <w:color w:val="000000"/>
          <w:sz w:val="24"/>
          <w:szCs w:val="24"/>
        </w:rPr>
      </w:pPr>
      <w:r>
        <w:rPr>
          <w:rFonts w:hint="eastAsia" w:ascii="微软雅黑" w:hAnsi="微软雅黑" w:eastAsia="微软雅黑" w:cs="宋体"/>
          <w:color w:val="000000"/>
          <w:sz w:val="24"/>
          <w:szCs w:val="24"/>
        </w:rPr>
        <w:t>统一医院综合管理的基础资料信息，规范职工、科室、供应商以及各项财务及考核指标等基本信息的编码、名称、定义。</w:t>
      </w:r>
    </w:p>
    <w:p>
      <w:pPr>
        <w:pStyle w:val="8"/>
        <w:numPr>
          <w:ilvl w:val="0"/>
          <w:numId w:val="2"/>
        </w:numPr>
        <w:ind w:left="770" w:hanging="462"/>
        <w:rPr>
          <w:rFonts w:ascii="微软雅黑" w:hAnsi="微软雅黑" w:eastAsia="微软雅黑" w:cs="宋体"/>
          <w:color w:val="000000"/>
          <w:sz w:val="24"/>
          <w:szCs w:val="24"/>
        </w:rPr>
      </w:pPr>
      <w:r>
        <w:rPr>
          <w:rFonts w:hint="eastAsia" w:ascii="微软雅黑" w:hAnsi="微软雅黑" w:eastAsia="微软雅黑" w:cs="宋体"/>
          <w:color w:val="000000"/>
          <w:sz w:val="24"/>
          <w:szCs w:val="24"/>
        </w:rPr>
        <w:t>建立以会计核算为核心的账务处理方式，需要人、财、物各种信息与会计账务中反映的信息一致，并完全符合财政部</w:t>
      </w:r>
      <w:r>
        <w:rPr>
          <w:rFonts w:ascii="微软雅黑" w:hAnsi="微软雅黑" w:eastAsia="微软雅黑" w:cs="宋体"/>
          <w:color w:val="000000"/>
          <w:sz w:val="24"/>
          <w:szCs w:val="24"/>
        </w:rPr>
        <w:t>《政府会计制度——行政事业单位会计科目和报表》</w:t>
      </w:r>
      <w:r>
        <w:rPr>
          <w:rFonts w:hint="eastAsia" w:ascii="微软雅黑" w:hAnsi="微软雅黑" w:eastAsia="微软雅黑" w:cs="宋体"/>
          <w:color w:val="000000"/>
          <w:sz w:val="24"/>
          <w:szCs w:val="24"/>
        </w:rPr>
        <w:t>（财会</w:t>
      </w:r>
      <w:r>
        <w:rPr>
          <w:rFonts w:ascii="微软雅黑" w:hAnsi="微软雅黑" w:eastAsia="微软雅黑" w:cs="宋体"/>
          <w:color w:val="000000"/>
          <w:sz w:val="24"/>
          <w:szCs w:val="24"/>
        </w:rPr>
        <w:t>[2017]25</w:t>
      </w:r>
      <w:r>
        <w:rPr>
          <w:rFonts w:hint="eastAsia" w:ascii="微软雅黑" w:hAnsi="微软雅黑" w:eastAsia="微软雅黑" w:cs="宋体"/>
          <w:color w:val="000000"/>
          <w:sz w:val="24"/>
          <w:szCs w:val="24"/>
        </w:rPr>
        <w:t>号）、《医院财务制度》（财社</w:t>
      </w:r>
      <w:r>
        <w:rPr>
          <w:rFonts w:ascii="微软雅黑" w:hAnsi="微软雅黑" w:eastAsia="微软雅黑" w:cs="宋体"/>
          <w:color w:val="000000"/>
          <w:sz w:val="24"/>
          <w:szCs w:val="24"/>
        </w:rPr>
        <w:t>[2010]306</w:t>
      </w:r>
      <w:r>
        <w:rPr>
          <w:rFonts w:hint="eastAsia" w:ascii="微软雅黑" w:hAnsi="微软雅黑" w:eastAsia="微软雅黑" w:cs="宋体"/>
          <w:color w:val="000000"/>
          <w:sz w:val="24"/>
          <w:szCs w:val="24"/>
        </w:rPr>
        <w:t>号）文件的制度规范要求。</w:t>
      </w:r>
    </w:p>
    <w:p>
      <w:pPr>
        <w:pStyle w:val="8"/>
        <w:numPr>
          <w:ilvl w:val="0"/>
          <w:numId w:val="2"/>
        </w:numPr>
        <w:ind w:left="770" w:hanging="462"/>
        <w:rPr>
          <w:rFonts w:ascii="微软雅黑" w:hAnsi="微软雅黑" w:eastAsia="微软雅黑" w:cs="宋体"/>
          <w:color w:val="000000"/>
          <w:sz w:val="24"/>
          <w:szCs w:val="24"/>
        </w:rPr>
      </w:pPr>
      <w:r>
        <w:rPr>
          <w:rFonts w:hint="eastAsia" w:ascii="微软雅黑" w:hAnsi="微软雅黑" w:eastAsia="微软雅黑" w:cs="宋体"/>
          <w:color w:val="000000"/>
          <w:sz w:val="24"/>
          <w:szCs w:val="24"/>
        </w:rPr>
        <w:t>建立以预算控制为主的业务处理方式，通过收支预算、分类预算和项目预算，对会计核算和资金消耗分别进行事前预防、事中控制和事后监督。预算管理流程与应用设计完全符合财政部、卫生部《医院财务制度》（财社</w:t>
      </w:r>
      <w:r>
        <w:rPr>
          <w:rFonts w:ascii="微软雅黑" w:hAnsi="微软雅黑" w:eastAsia="微软雅黑" w:cs="宋体"/>
          <w:color w:val="000000"/>
          <w:sz w:val="24"/>
          <w:szCs w:val="24"/>
        </w:rPr>
        <w:t>[2010]306</w:t>
      </w:r>
      <w:r>
        <w:rPr>
          <w:rFonts w:hint="eastAsia" w:ascii="微软雅黑" w:hAnsi="微软雅黑" w:eastAsia="微软雅黑" w:cs="宋体"/>
          <w:color w:val="000000"/>
          <w:sz w:val="24"/>
          <w:szCs w:val="24"/>
        </w:rPr>
        <w:t>号）文件的制度规范要求。</w:t>
      </w:r>
    </w:p>
    <w:p>
      <w:pPr>
        <w:pStyle w:val="8"/>
        <w:numPr>
          <w:ilvl w:val="0"/>
          <w:numId w:val="2"/>
        </w:numPr>
        <w:ind w:left="770" w:hanging="462"/>
        <w:rPr>
          <w:rFonts w:ascii="微软雅黑" w:hAnsi="微软雅黑" w:eastAsia="微软雅黑" w:cs="宋体"/>
          <w:color w:val="000000"/>
          <w:sz w:val="24"/>
          <w:szCs w:val="24"/>
        </w:rPr>
      </w:pPr>
      <w:r>
        <w:rPr>
          <w:rFonts w:hint="eastAsia" w:ascii="微软雅黑" w:hAnsi="微软雅黑" w:eastAsia="微软雅黑" w:cs="宋体"/>
          <w:color w:val="000000"/>
          <w:sz w:val="24"/>
          <w:szCs w:val="24"/>
        </w:rPr>
        <w:t>以预算为基础，对医院的资金支出情况进行专项管理：日常报销、采购支出、项目支出、专项资金等，均可纳入资金管理的范畴，控制好医院的每一项开支。</w:t>
      </w:r>
    </w:p>
    <w:p>
      <w:pPr>
        <w:pStyle w:val="8"/>
        <w:numPr>
          <w:ilvl w:val="0"/>
          <w:numId w:val="2"/>
        </w:numPr>
        <w:ind w:left="770" w:hanging="462"/>
        <w:rPr>
          <w:rFonts w:hint="eastAsia" w:ascii="微软雅黑" w:hAnsi="微软雅黑" w:eastAsia="微软雅黑" w:cs="宋体"/>
          <w:color w:val="000000"/>
          <w:sz w:val="24"/>
          <w:szCs w:val="24"/>
        </w:rPr>
      </w:pPr>
      <w:r>
        <w:rPr>
          <w:rFonts w:hint="eastAsia" w:ascii="微软雅黑" w:hAnsi="微软雅黑" w:eastAsia="微软雅黑" w:cs="宋体"/>
          <w:color w:val="000000"/>
          <w:sz w:val="24"/>
          <w:szCs w:val="24"/>
        </w:rPr>
        <w:t>从项目和资金的管理角度出发，完成对人员的科研、教学专项考核，加强对人员的深度了解。</w:t>
      </w:r>
    </w:p>
    <w:p>
      <w:pPr>
        <w:pStyle w:val="8"/>
        <w:numPr>
          <w:ilvl w:val="0"/>
          <w:numId w:val="2"/>
        </w:numPr>
        <w:ind w:left="770" w:hanging="462"/>
        <w:rPr>
          <w:rFonts w:ascii="微软雅黑" w:hAnsi="微软雅黑" w:eastAsia="微软雅黑" w:cs="宋体"/>
          <w:color w:val="000000"/>
          <w:sz w:val="24"/>
          <w:szCs w:val="24"/>
        </w:rPr>
      </w:pPr>
      <w:r>
        <w:rPr>
          <w:rFonts w:hint="eastAsia" w:ascii="微软雅黑" w:hAnsi="微软雅黑" w:eastAsia="微软雅黑" w:cs="宋体"/>
          <w:color w:val="000000"/>
          <w:sz w:val="24"/>
          <w:szCs w:val="24"/>
        </w:rPr>
        <w:t>建立物资耗材的分类管理模式，针对医院不同类型物资耗材提供不同的管理方法和管理流程，使其在采购、入库、领用申请、出库、消耗、应付款等各个环节上的都体现出最优化的流程处理模式，体现“适时、适量、适价、适质”的先进采购管理理念。</w:t>
      </w:r>
    </w:p>
    <w:p>
      <w:pPr>
        <w:pStyle w:val="8"/>
        <w:numPr>
          <w:ilvl w:val="0"/>
          <w:numId w:val="2"/>
        </w:numPr>
        <w:ind w:left="770" w:hanging="462"/>
        <w:rPr>
          <w:rFonts w:ascii="微软雅黑" w:hAnsi="微软雅黑" w:eastAsia="微软雅黑" w:cs="宋体"/>
          <w:color w:val="000000"/>
          <w:sz w:val="24"/>
          <w:szCs w:val="24"/>
        </w:rPr>
      </w:pPr>
      <w:r>
        <w:rPr>
          <w:rFonts w:hint="eastAsia" w:ascii="微软雅黑" w:hAnsi="微软雅黑" w:eastAsia="微软雅黑" w:cs="宋体"/>
          <w:color w:val="000000"/>
          <w:sz w:val="24"/>
          <w:szCs w:val="24"/>
        </w:rPr>
        <w:t>供应链协同平台实现医院院内和院外的供应链协同管理，支持医院物资采购部门与供应商之间购销协同，物流协同，保证信息传递的及时性，准确性，降低沟通成本，提高供应链运营效率。</w:t>
      </w:r>
    </w:p>
    <w:p>
      <w:pPr>
        <w:pStyle w:val="8"/>
        <w:numPr>
          <w:ilvl w:val="0"/>
          <w:numId w:val="2"/>
        </w:numPr>
        <w:ind w:left="770" w:hanging="462"/>
        <w:rPr>
          <w:rFonts w:ascii="微软雅黑" w:hAnsi="微软雅黑" w:eastAsia="微软雅黑" w:cs="宋体"/>
          <w:color w:val="000000"/>
          <w:sz w:val="24"/>
          <w:szCs w:val="24"/>
        </w:rPr>
      </w:pPr>
      <w:r>
        <w:rPr>
          <w:rFonts w:hint="eastAsia" w:ascii="微软雅黑" w:hAnsi="微软雅黑" w:eastAsia="微软雅黑" w:cs="宋体"/>
          <w:color w:val="000000"/>
          <w:sz w:val="24"/>
          <w:szCs w:val="24"/>
        </w:rPr>
        <w:t>建立对固定资产的全生命周期管理和全过程跟踪。以卡片为核心，实现资产实物与账务的正确匹配，做到每个设备的效益最大化。</w:t>
      </w:r>
    </w:p>
    <w:p>
      <w:pPr>
        <w:pStyle w:val="8"/>
        <w:numPr>
          <w:ilvl w:val="0"/>
          <w:numId w:val="2"/>
        </w:numPr>
        <w:ind w:left="770" w:hanging="462"/>
        <w:rPr>
          <w:rFonts w:ascii="微软雅黑" w:hAnsi="微软雅黑" w:eastAsia="微软雅黑" w:cs="宋体"/>
          <w:color w:val="000000"/>
          <w:sz w:val="24"/>
          <w:szCs w:val="24"/>
        </w:rPr>
      </w:pPr>
      <w:r>
        <w:rPr>
          <w:rFonts w:hint="eastAsia" w:ascii="微软雅黑" w:hAnsi="微软雅黑" w:eastAsia="微软雅黑" w:cs="宋体"/>
          <w:color w:val="000000"/>
          <w:sz w:val="24"/>
          <w:szCs w:val="24"/>
        </w:rPr>
        <w:t>建立合同与物流、固定资产的深度关联，通过合同的签订、执行及跟踪，及时对医院物资的采购、到货、结算进行反馈，在满足医院合同管理信息化需求的前提下，实现多纬度的综合性管理。</w:t>
      </w:r>
    </w:p>
    <w:p>
      <w:pPr>
        <w:pStyle w:val="8"/>
        <w:numPr>
          <w:ilvl w:val="0"/>
          <w:numId w:val="2"/>
        </w:numPr>
        <w:ind w:left="770" w:hanging="462"/>
        <w:rPr>
          <w:rFonts w:ascii="微软雅黑" w:hAnsi="微软雅黑" w:eastAsia="微软雅黑" w:cs="宋体"/>
          <w:color w:val="000000"/>
          <w:sz w:val="24"/>
          <w:szCs w:val="24"/>
        </w:rPr>
      </w:pPr>
      <w:r>
        <w:rPr>
          <w:rFonts w:hint="eastAsia" w:ascii="微软雅黑" w:hAnsi="微软雅黑" w:eastAsia="微软雅黑" w:cs="宋体"/>
          <w:color w:val="000000"/>
          <w:sz w:val="24"/>
          <w:szCs w:val="24"/>
        </w:rPr>
        <w:t>建立包括有职工基础信息、薪酬项目定义、薪酬计算、薪酬发放、五险一金管理、个人所得税管理、工资报表、薪酬数据分析、等功能的薪酬发放基本体系。包含基本工资、岗位津贴、福利、奖金劳务费等职工薪酬体系的综合管理信息系统；包括薪资的录入、计算、发放、查询、转账，以及对公积金和社保等工资相关信息的管理；提供一个简便、易用的薪酬计算和发放的管理工具；并能够通过薪酬数据的有效分析，提高医院对人力资源支出成本的管理水平，为医院管理提供必要数据基础。</w:t>
      </w:r>
    </w:p>
    <w:p>
      <w:pPr>
        <w:pStyle w:val="8"/>
        <w:numPr>
          <w:ilvl w:val="0"/>
          <w:numId w:val="2"/>
        </w:numPr>
        <w:ind w:left="770" w:hanging="462"/>
        <w:rPr>
          <w:rFonts w:ascii="微软雅黑" w:hAnsi="微软雅黑" w:eastAsia="微软雅黑" w:cs="宋体"/>
          <w:color w:val="000000"/>
          <w:sz w:val="24"/>
          <w:szCs w:val="24"/>
        </w:rPr>
      </w:pPr>
      <w:r>
        <w:rPr>
          <w:rFonts w:hint="eastAsia" w:ascii="微软雅黑" w:hAnsi="微软雅黑" w:eastAsia="微软雅黑" w:cs="宋体"/>
          <w:color w:val="000000"/>
          <w:sz w:val="24"/>
          <w:szCs w:val="24"/>
        </w:rPr>
        <w:t>建立适合医院应用的全成本核算的理论方法和合理的成本分摊方法，形成以成本核算为数据处理中心的业务管理模式。医院成本管理流程与应用设计完全符合财政部、卫生部</w:t>
      </w:r>
      <w:r>
        <w:rPr>
          <w:rFonts w:ascii="微软雅黑" w:hAnsi="微软雅黑" w:eastAsia="微软雅黑" w:cs="宋体"/>
          <w:color w:val="000000"/>
          <w:sz w:val="24"/>
          <w:szCs w:val="24"/>
        </w:rPr>
        <w:t xml:space="preserve"> </w:t>
      </w:r>
      <w:r>
        <w:rPr>
          <w:rFonts w:hint="eastAsia" w:ascii="微软雅黑" w:hAnsi="微软雅黑" w:eastAsia="微软雅黑" w:cs="宋体"/>
          <w:color w:val="000000"/>
          <w:sz w:val="24"/>
          <w:szCs w:val="24"/>
        </w:rPr>
        <w:t>《医院财务制度》（财社</w:t>
      </w:r>
      <w:r>
        <w:rPr>
          <w:rFonts w:ascii="微软雅黑" w:hAnsi="微软雅黑" w:eastAsia="微软雅黑" w:cs="宋体"/>
          <w:color w:val="000000"/>
          <w:sz w:val="24"/>
          <w:szCs w:val="24"/>
        </w:rPr>
        <w:t>[2010]306</w:t>
      </w:r>
      <w:r>
        <w:rPr>
          <w:rFonts w:hint="eastAsia" w:ascii="微软雅黑" w:hAnsi="微软雅黑" w:eastAsia="微软雅黑" w:cs="宋体"/>
          <w:color w:val="000000"/>
          <w:sz w:val="24"/>
          <w:szCs w:val="24"/>
        </w:rPr>
        <w:t>号）文件的制度规范要求。</w:t>
      </w:r>
    </w:p>
    <w:p>
      <w:pPr>
        <w:pStyle w:val="8"/>
        <w:numPr>
          <w:ilvl w:val="0"/>
          <w:numId w:val="2"/>
        </w:numPr>
        <w:ind w:left="770" w:hanging="462"/>
        <w:rPr>
          <w:rFonts w:ascii="微软雅黑" w:hAnsi="微软雅黑" w:eastAsia="微软雅黑" w:cs="宋体"/>
          <w:color w:val="000000"/>
          <w:sz w:val="24"/>
          <w:szCs w:val="24"/>
        </w:rPr>
      </w:pPr>
      <w:r>
        <w:rPr>
          <w:rFonts w:hint="eastAsia" w:ascii="微软雅黑" w:hAnsi="微软雅黑" w:eastAsia="微软雅黑" w:cs="宋体"/>
          <w:color w:val="000000"/>
          <w:sz w:val="24"/>
          <w:szCs w:val="24"/>
        </w:rPr>
        <w:t>科室成本依照财务理论方法对责任单位的科室进行细致化成本核算，是责任单位在医疗经营过程中所耗费的资金归集。科室成本主要是对责任单位并对科室的经营做出预测和决策，在医院的管理中有着重要作用。</w:t>
      </w:r>
    </w:p>
    <w:p>
      <w:pPr>
        <w:ind w:firstLine="480"/>
        <w:jc w:val="left"/>
        <w:rPr>
          <w:rFonts w:ascii="微软雅黑" w:hAnsi="微软雅黑" w:eastAsia="微软雅黑" w:cs="宋体"/>
          <w:color w:val="000000"/>
          <w:sz w:val="24"/>
          <w:szCs w:val="24"/>
        </w:rPr>
      </w:pPr>
    </w:p>
    <w:p>
      <w:pPr>
        <w:pStyle w:val="3"/>
        <w:numPr>
          <w:ilvl w:val="0"/>
          <w:numId w:val="0"/>
        </w:numPr>
        <w:spacing w:before="0" w:after="0" w:line="240" w:lineRule="auto"/>
        <w:ind w:leftChars="0"/>
        <w:rPr>
          <w:rFonts w:ascii="微软雅黑" w:hAnsi="微软雅黑" w:eastAsia="微软雅黑"/>
          <w:sz w:val="30"/>
          <w:szCs w:val="30"/>
        </w:rPr>
      </w:pPr>
      <w:bookmarkStart w:id="1" w:name="_Toc31238"/>
      <w:r>
        <w:rPr>
          <w:rFonts w:hint="eastAsia" w:ascii="微软雅黑" w:hAnsi="微软雅黑" w:eastAsia="微软雅黑"/>
          <w:sz w:val="30"/>
          <w:szCs w:val="30"/>
          <w:lang w:eastAsia="zh-CN"/>
        </w:rPr>
        <w:t>二、</w:t>
      </w:r>
      <w:r>
        <w:rPr>
          <w:rFonts w:hint="eastAsia" w:ascii="微软雅黑" w:hAnsi="微软雅黑" w:eastAsia="微软雅黑"/>
          <w:sz w:val="30"/>
          <w:szCs w:val="30"/>
        </w:rPr>
        <w:t>项目建设任务及目标</w:t>
      </w:r>
      <w:bookmarkEnd w:id="1"/>
    </w:p>
    <w:p>
      <w:pPr>
        <w:pStyle w:val="4"/>
        <w:numPr>
          <w:ilvl w:val="2"/>
          <w:numId w:val="0"/>
        </w:numPr>
        <w:tabs>
          <w:tab w:val="clear" w:pos="720"/>
        </w:tabs>
        <w:spacing w:before="0" w:after="0" w:line="240" w:lineRule="auto"/>
        <w:ind w:leftChars="0"/>
        <w:rPr>
          <w:rFonts w:ascii="微软雅黑" w:hAnsi="微软雅黑" w:eastAsia="微软雅黑" w:cs="宋体"/>
          <w:color w:val="000000"/>
          <w:sz w:val="28"/>
          <w:szCs w:val="28"/>
        </w:rPr>
      </w:pPr>
      <w:bookmarkStart w:id="2" w:name="_Toc23780"/>
      <w:r>
        <w:rPr>
          <w:rFonts w:hint="eastAsia" w:ascii="微软雅黑" w:hAnsi="微软雅黑" w:eastAsia="微软雅黑" w:cs="宋体"/>
          <w:color w:val="000000"/>
          <w:sz w:val="28"/>
          <w:szCs w:val="28"/>
          <w:lang w:val="en-US" w:eastAsia="zh-CN"/>
        </w:rPr>
        <w:t>1、</w:t>
      </w:r>
      <w:r>
        <w:rPr>
          <w:rFonts w:hint="eastAsia" w:ascii="微软雅黑" w:hAnsi="微软雅黑" w:eastAsia="微软雅黑" w:cs="宋体"/>
          <w:color w:val="000000"/>
          <w:sz w:val="28"/>
          <w:szCs w:val="28"/>
        </w:rPr>
        <w:t>项目建设任务</w:t>
      </w:r>
      <w:bookmarkEnd w:id="2"/>
    </w:p>
    <w:p>
      <w:pPr>
        <w:ind w:firstLine="480"/>
        <w:jc w:val="left"/>
        <w:rPr>
          <w:rFonts w:ascii="微软雅黑" w:hAnsi="微软雅黑" w:eastAsia="微软雅黑" w:cs="宋体"/>
          <w:color w:val="000000"/>
          <w:sz w:val="24"/>
          <w:szCs w:val="24"/>
        </w:rPr>
      </w:pPr>
      <w:r>
        <w:rPr>
          <w:rFonts w:hint="eastAsia" w:ascii="微软雅黑" w:hAnsi="微软雅黑" w:eastAsia="微软雅黑" w:cs="宋体"/>
          <w:color w:val="000000"/>
          <w:sz w:val="24"/>
          <w:szCs w:val="24"/>
        </w:rPr>
        <w:t>建立统一的医院综合运营精细化管理平台：整合医院现有的人财物业务管理与数据归集，建立符合</w:t>
      </w:r>
      <w:r>
        <w:rPr>
          <w:rFonts w:ascii="微软雅黑" w:hAnsi="微软雅黑" w:eastAsia="微软雅黑" w:cs="宋体"/>
          <w:color w:val="000000"/>
          <w:sz w:val="24"/>
          <w:szCs w:val="24"/>
        </w:rPr>
        <w:t>《政府会计制度——行政事业单位会计科目和报表》</w:t>
      </w:r>
      <w:r>
        <w:rPr>
          <w:rFonts w:hint="eastAsia" w:ascii="微软雅黑" w:hAnsi="微软雅黑" w:eastAsia="微软雅黑" w:cs="宋体"/>
          <w:color w:val="000000"/>
          <w:sz w:val="24"/>
          <w:szCs w:val="24"/>
        </w:rPr>
        <w:t>（财会</w:t>
      </w:r>
      <w:r>
        <w:rPr>
          <w:rFonts w:ascii="微软雅黑" w:hAnsi="微软雅黑" w:eastAsia="微软雅黑" w:cs="宋体"/>
          <w:color w:val="000000"/>
          <w:sz w:val="24"/>
          <w:szCs w:val="24"/>
        </w:rPr>
        <w:t>[2017]25</w:t>
      </w:r>
      <w:r>
        <w:rPr>
          <w:rFonts w:hint="eastAsia" w:ascii="微软雅黑" w:hAnsi="微软雅黑" w:eastAsia="微软雅黑" w:cs="宋体"/>
          <w:color w:val="000000"/>
          <w:sz w:val="24"/>
          <w:szCs w:val="24"/>
        </w:rPr>
        <w:t>号）所规范的会计科目、科室、会计期间、人员等相关基础字典与权限管理体系，建立符合《医院财务制度》（财社</w:t>
      </w:r>
      <w:r>
        <w:rPr>
          <w:rFonts w:ascii="微软雅黑" w:hAnsi="微软雅黑" w:eastAsia="微软雅黑" w:cs="宋体"/>
          <w:color w:val="000000"/>
          <w:sz w:val="24"/>
          <w:szCs w:val="24"/>
        </w:rPr>
        <w:t>[2010]306</w:t>
      </w:r>
      <w:r>
        <w:rPr>
          <w:rFonts w:hint="eastAsia" w:ascii="微软雅黑" w:hAnsi="微软雅黑" w:eastAsia="微软雅黑" w:cs="宋体"/>
          <w:color w:val="000000"/>
          <w:sz w:val="24"/>
          <w:szCs w:val="24"/>
        </w:rPr>
        <w:t>号）所规范的医院综合运营精细化管理模式，完成医改所要求的‘公立医院绩效考核’和‘医保支付方式改革’的任务。</w:t>
      </w:r>
    </w:p>
    <w:p>
      <w:pPr>
        <w:pStyle w:val="4"/>
        <w:numPr>
          <w:ilvl w:val="2"/>
          <w:numId w:val="0"/>
        </w:numPr>
        <w:tabs>
          <w:tab w:val="clear" w:pos="720"/>
        </w:tabs>
        <w:spacing w:before="0" w:after="0" w:line="240" w:lineRule="auto"/>
        <w:ind w:leftChars="0"/>
        <w:rPr>
          <w:rFonts w:ascii="微软雅黑" w:hAnsi="微软雅黑" w:eastAsia="微软雅黑" w:cs="宋体"/>
          <w:color w:val="000000"/>
          <w:sz w:val="28"/>
          <w:szCs w:val="28"/>
        </w:rPr>
      </w:pPr>
      <w:bookmarkStart w:id="3" w:name="_Toc11817"/>
      <w:r>
        <w:rPr>
          <w:rFonts w:hint="eastAsia" w:ascii="微软雅黑" w:hAnsi="微软雅黑" w:eastAsia="微软雅黑" w:cs="宋体"/>
          <w:color w:val="000000"/>
          <w:sz w:val="28"/>
          <w:szCs w:val="28"/>
          <w:lang w:val="en-US" w:eastAsia="zh-CN"/>
        </w:rPr>
        <w:t>2、</w:t>
      </w:r>
      <w:r>
        <w:rPr>
          <w:rFonts w:hint="eastAsia" w:ascii="微软雅黑" w:hAnsi="微软雅黑" w:eastAsia="微软雅黑" w:cs="宋体"/>
          <w:color w:val="000000"/>
          <w:sz w:val="28"/>
          <w:szCs w:val="28"/>
        </w:rPr>
        <w:t>项目建设目标</w:t>
      </w:r>
      <w:bookmarkEnd w:id="3"/>
    </w:p>
    <w:p>
      <w:pPr>
        <w:ind w:firstLine="480"/>
        <w:jc w:val="left"/>
        <w:rPr>
          <w:rFonts w:ascii="微软雅黑" w:hAnsi="微软雅黑" w:eastAsia="微软雅黑" w:cs="宋体"/>
          <w:color w:val="000000"/>
          <w:sz w:val="24"/>
          <w:szCs w:val="24"/>
        </w:rPr>
      </w:pPr>
      <w:r>
        <w:rPr>
          <w:rFonts w:hint="eastAsia" w:ascii="微软雅黑" w:hAnsi="微软雅黑" w:eastAsia="微软雅黑" w:cs="宋体"/>
          <w:color w:val="000000"/>
          <w:sz w:val="24"/>
          <w:szCs w:val="24"/>
        </w:rPr>
        <w:t>本项目建设的主要目标是：以医院综合运营精细化管理为导向，整合所有的财务数据、成本数据、业务数据及人事数据，并对各数据的来源、走向及共享进行顶层指导与干预。规范医院的后台运营管理、明确医院的医疗行为过程、明确医院的真实价值，在分析决策及政策性的指引下，提高医院的经济运行效率，扩大医院的社会效率。</w:t>
      </w:r>
    </w:p>
    <w:p>
      <w:pPr>
        <w:pStyle w:val="5"/>
        <w:numPr>
          <w:ilvl w:val="3"/>
          <w:numId w:val="0"/>
        </w:numPr>
        <w:tabs>
          <w:tab w:val="left" w:pos="993"/>
        </w:tabs>
        <w:spacing w:before="0" w:after="0" w:line="240" w:lineRule="auto"/>
        <w:ind w:leftChars="0"/>
        <w:rPr>
          <w:rFonts w:ascii="微软雅黑" w:hAnsi="微软雅黑" w:eastAsia="微软雅黑" w:cs="宋体"/>
          <w:color w:val="000000"/>
          <w:sz w:val="24"/>
          <w:szCs w:val="24"/>
          <w:highlight w:val="none"/>
        </w:rPr>
      </w:pPr>
      <w:bookmarkStart w:id="4" w:name="_Toc23601"/>
      <w:r>
        <w:rPr>
          <w:rFonts w:hint="eastAsia" w:ascii="微软雅黑" w:hAnsi="微软雅黑" w:eastAsia="微软雅黑" w:cs="宋体"/>
          <w:color w:val="000000"/>
          <w:sz w:val="24"/>
          <w:szCs w:val="24"/>
          <w:highlight w:val="none"/>
          <w:lang w:val="en-US" w:eastAsia="zh-CN"/>
        </w:rPr>
        <w:t>3、</w:t>
      </w:r>
      <w:r>
        <w:rPr>
          <w:rFonts w:hint="eastAsia" w:ascii="微软雅黑" w:hAnsi="微软雅黑" w:eastAsia="微软雅黑" w:cs="宋体"/>
          <w:color w:val="000000"/>
          <w:sz w:val="24"/>
          <w:szCs w:val="24"/>
          <w:highlight w:val="none"/>
        </w:rPr>
        <w:t>业务目标</w:t>
      </w:r>
      <w:bookmarkEnd w:id="4"/>
    </w:p>
    <w:p>
      <w:pPr>
        <w:ind w:firstLine="480"/>
        <w:jc w:val="left"/>
        <w:rPr>
          <w:rFonts w:ascii="微软雅黑" w:hAnsi="微软雅黑" w:eastAsia="微软雅黑" w:cs="宋体"/>
          <w:color w:val="000000"/>
          <w:sz w:val="24"/>
          <w:szCs w:val="24"/>
          <w:highlight w:val="none"/>
        </w:rPr>
      </w:pPr>
      <w:r>
        <w:rPr>
          <w:rFonts w:hint="eastAsia" w:ascii="微软雅黑" w:hAnsi="微软雅黑" w:eastAsia="微软雅黑" w:cs="宋体"/>
          <w:color w:val="000000"/>
          <w:sz w:val="24"/>
          <w:szCs w:val="24"/>
          <w:highlight w:val="none"/>
        </w:rPr>
        <w:t>1.建立医院运营管理业务基础平台，实现基础字典编码的统一维护；</w:t>
      </w:r>
    </w:p>
    <w:p>
      <w:pPr>
        <w:ind w:firstLine="480"/>
        <w:jc w:val="left"/>
        <w:rPr>
          <w:rFonts w:ascii="微软雅黑" w:hAnsi="微软雅黑" w:eastAsia="微软雅黑" w:cs="宋体"/>
          <w:color w:val="000000"/>
          <w:sz w:val="24"/>
          <w:szCs w:val="24"/>
          <w:highlight w:val="none"/>
        </w:rPr>
      </w:pPr>
      <w:r>
        <w:rPr>
          <w:rFonts w:hint="eastAsia" w:ascii="微软雅黑" w:hAnsi="微软雅黑" w:eastAsia="微软雅黑" w:cs="宋体"/>
          <w:color w:val="000000"/>
          <w:sz w:val="24"/>
          <w:szCs w:val="24"/>
          <w:highlight w:val="none"/>
        </w:rPr>
        <w:t>2.建立医院资产、物流实物账与财务账进行账实核对、账账核对，初步实现以财务视角对医院的资产和物流进行监管的管理模式。</w:t>
      </w:r>
    </w:p>
    <w:p>
      <w:pPr>
        <w:ind w:firstLine="480"/>
        <w:jc w:val="left"/>
        <w:rPr>
          <w:rFonts w:ascii="微软雅黑" w:hAnsi="微软雅黑" w:eastAsia="微软雅黑" w:cs="宋体"/>
          <w:color w:val="000000"/>
          <w:sz w:val="24"/>
          <w:szCs w:val="24"/>
          <w:highlight w:val="none"/>
        </w:rPr>
      </w:pPr>
      <w:r>
        <w:rPr>
          <w:rFonts w:hint="eastAsia" w:ascii="微软雅黑" w:hAnsi="微软雅黑" w:eastAsia="微软雅黑" w:cs="宋体"/>
          <w:color w:val="000000"/>
          <w:sz w:val="24"/>
          <w:szCs w:val="24"/>
          <w:highlight w:val="none"/>
        </w:rPr>
        <w:t>3.建立医用耗材、后勤物资的分类管理模式。特别是针对高值医用耗材通过条形码技术与</w:t>
      </w:r>
      <w:r>
        <w:rPr>
          <w:rFonts w:ascii="微软雅黑" w:hAnsi="微软雅黑" w:eastAsia="微软雅黑" w:cs="宋体"/>
          <w:color w:val="000000"/>
          <w:sz w:val="24"/>
          <w:szCs w:val="24"/>
          <w:highlight w:val="none"/>
        </w:rPr>
        <w:t>HIS</w:t>
      </w:r>
      <w:r>
        <w:rPr>
          <w:rFonts w:hint="eastAsia" w:ascii="微软雅黑" w:hAnsi="微软雅黑" w:eastAsia="微软雅黑" w:cs="宋体"/>
          <w:color w:val="000000"/>
          <w:sz w:val="24"/>
          <w:szCs w:val="24"/>
          <w:highlight w:val="none"/>
        </w:rPr>
        <w:t>建立接口，实现高值医用耗材全流程追踪管理。</w:t>
      </w:r>
    </w:p>
    <w:p>
      <w:pPr>
        <w:ind w:firstLine="480"/>
        <w:jc w:val="left"/>
        <w:rPr>
          <w:rFonts w:ascii="微软雅黑" w:hAnsi="微软雅黑" w:eastAsia="微软雅黑" w:cs="宋体"/>
          <w:color w:val="000000"/>
          <w:sz w:val="24"/>
          <w:szCs w:val="24"/>
          <w:highlight w:val="none"/>
        </w:rPr>
      </w:pPr>
      <w:r>
        <w:rPr>
          <w:rFonts w:hint="eastAsia" w:ascii="微软雅黑" w:hAnsi="微软雅黑" w:eastAsia="微软雅黑" w:cs="宋体"/>
          <w:color w:val="000000"/>
          <w:sz w:val="24"/>
          <w:szCs w:val="24"/>
          <w:highlight w:val="none"/>
        </w:rPr>
        <w:t>4.建立起医院固定资产（专用设备、通用资产、房屋建筑）的统一管理。特别是针对医疗设备建立全生命周期管理流程。</w:t>
      </w:r>
    </w:p>
    <w:p>
      <w:pPr>
        <w:ind w:firstLine="480"/>
        <w:jc w:val="left"/>
        <w:rPr>
          <w:rFonts w:ascii="微软雅黑" w:hAnsi="微软雅黑" w:eastAsia="微软雅黑" w:cs="宋体"/>
          <w:color w:val="000000"/>
          <w:sz w:val="24"/>
          <w:szCs w:val="24"/>
          <w:highlight w:val="none"/>
        </w:rPr>
      </w:pPr>
      <w:r>
        <w:rPr>
          <w:rFonts w:hint="eastAsia" w:ascii="微软雅黑" w:hAnsi="微软雅黑" w:eastAsia="微软雅黑" w:cs="宋体"/>
          <w:color w:val="000000"/>
          <w:sz w:val="24"/>
          <w:szCs w:val="24"/>
          <w:highlight w:val="none"/>
        </w:rPr>
        <w:t>5.建立医院预算管理和内部控制机制，实现对医院收支预算的管理，以及对医院的办公用品、医疗耗材、日常性支出的控制。</w:t>
      </w:r>
    </w:p>
    <w:p>
      <w:pPr>
        <w:ind w:firstLine="480"/>
        <w:jc w:val="left"/>
        <w:rPr>
          <w:rFonts w:ascii="微软雅黑" w:hAnsi="微软雅黑" w:eastAsia="微软雅黑" w:cs="宋体"/>
          <w:color w:val="000000"/>
          <w:sz w:val="24"/>
          <w:szCs w:val="24"/>
          <w:highlight w:val="none"/>
        </w:rPr>
      </w:pPr>
      <w:r>
        <w:rPr>
          <w:rFonts w:hint="eastAsia" w:ascii="微软雅黑" w:hAnsi="微软雅黑" w:eastAsia="微软雅黑" w:cs="宋体"/>
          <w:color w:val="000000"/>
          <w:sz w:val="24"/>
          <w:szCs w:val="24"/>
          <w:highlight w:val="none"/>
        </w:rPr>
        <w:t>6.支持医院职工从入职到离退的全面医师档案管理，考勤管理和薪酬管理。</w:t>
      </w:r>
    </w:p>
    <w:p>
      <w:pPr>
        <w:ind w:firstLine="480"/>
        <w:jc w:val="left"/>
        <w:rPr>
          <w:rFonts w:ascii="微软雅黑" w:hAnsi="微软雅黑" w:eastAsia="微软雅黑" w:cs="宋体"/>
          <w:color w:val="000000"/>
          <w:sz w:val="24"/>
          <w:szCs w:val="24"/>
          <w:highlight w:val="none"/>
        </w:rPr>
      </w:pPr>
      <w:r>
        <w:rPr>
          <w:rFonts w:ascii="微软雅黑" w:hAnsi="微软雅黑" w:eastAsia="微软雅黑" w:cs="宋体"/>
          <w:color w:val="000000"/>
          <w:sz w:val="24"/>
          <w:szCs w:val="24"/>
          <w:highlight w:val="none"/>
        </w:rPr>
        <w:t>7</w:t>
      </w:r>
      <w:r>
        <w:rPr>
          <w:rFonts w:hint="eastAsia" w:ascii="微软雅黑" w:hAnsi="微软雅黑" w:eastAsia="微软雅黑" w:cs="宋体"/>
          <w:color w:val="000000"/>
          <w:sz w:val="24"/>
          <w:szCs w:val="24"/>
          <w:highlight w:val="none"/>
        </w:rPr>
        <w:t>.建立符合</w:t>
      </w:r>
      <w:r>
        <w:rPr>
          <w:rFonts w:ascii="微软雅黑" w:hAnsi="微软雅黑" w:eastAsia="微软雅黑" w:cs="宋体"/>
          <w:color w:val="000000"/>
          <w:sz w:val="24"/>
          <w:szCs w:val="24"/>
          <w:highlight w:val="none"/>
        </w:rPr>
        <w:t>2019</w:t>
      </w:r>
      <w:r>
        <w:rPr>
          <w:rFonts w:hint="eastAsia" w:ascii="微软雅黑" w:hAnsi="微软雅黑" w:eastAsia="微软雅黑" w:cs="宋体"/>
          <w:color w:val="000000"/>
          <w:sz w:val="24"/>
          <w:szCs w:val="24"/>
          <w:highlight w:val="none"/>
        </w:rPr>
        <w:t>年开始执行的《政府会计制度》的财务管理体系，预算管理体系、全成本核算体系和医院运营综合分析体系。</w:t>
      </w:r>
    </w:p>
    <w:p>
      <w:pPr>
        <w:ind w:firstLine="480"/>
        <w:jc w:val="left"/>
        <w:rPr>
          <w:rFonts w:ascii="微软雅黑" w:hAnsi="微软雅黑" w:eastAsia="微软雅黑" w:cs="宋体"/>
          <w:color w:val="000000"/>
          <w:sz w:val="24"/>
          <w:szCs w:val="24"/>
          <w:highlight w:val="none"/>
        </w:rPr>
      </w:pPr>
      <w:r>
        <w:rPr>
          <w:rFonts w:ascii="微软雅黑" w:hAnsi="微软雅黑" w:eastAsia="微软雅黑" w:cs="宋体"/>
          <w:color w:val="000000"/>
          <w:sz w:val="24"/>
          <w:szCs w:val="24"/>
          <w:highlight w:val="none"/>
        </w:rPr>
        <w:t>8</w:t>
      </w:r>
      <w:r>
        <w:rPr>
          <w:rFonts w:hint="eastAsia" w:ascii="微软雅黑" w:hAnsi="微软雅黑" w:eastAsia="微软雅黑" w:cs="宋体"/>
          <w:color w:val="000000"/>
          <w:sz w:val="24"/>
          <w:szCs w:val="24"/>
          <w:highlight w:val="none"/>
        </w:rPr>
        <w:t>.实现会计核算、成本核算、预算管理一体化运行状态。</w:t>
      </w:r>
    </w:p>
    <w:p>
      <w:pPr>
        <w:jc w:val="left"/>
        <w:rPr>
          <w:rFonts w:ascii="微软雅黑" w:hAnsi="微软雅黑" w:eastAsia="微软雅黑" w:cs="Times New Roman"/>
          <w:color w:val="000000"/>
          <w:sz w:val="24"/>
          <w:szCs w:val="24"/>
          <w:highlight w:val="none"/>
        </w:rPr>
      </w:pPr>
    </w:p>
    <w:p>
      <w:pPr>
        <w:pStyle w:val="5"/>
        <w:numPr>
          <w:ilvl w:val="3"/>
          <w:numId w:val="0"/>
        </w:numPr>
        <w:tabs>
          <w:tab w:val="left" w:pos="993"/>
        </w:tabs>
        <w:spacing w:before="0" w:after="0" w:line="240" w:lineRule="auto"/>
        <w:ind w:leftChars="0"/>
        <w:rPr>
          <w:rFonts w:ascii="微软雅黑" w:hAnsi="微软雅黑" w:eastAsia="微软雅黑" w:cs="宋体"/>
          <w:color w:val="000000"/>
          <w:sz w:val="24"/>
          <w:szCs w:val="24"/>
          <w:highlight w:val="none"/>
        </w:rPr>
      </w:pPr>
      <w:bookmarkStart w:id="5" w:name="_Toc32318"/>
      <w:r>
        <w:rPr>
          <w:rFonts w:hint="eastAsia" w:ascii="微软雅黑" w:hAnsi="微软雅黑" w:eastAsia="微软雅黑" w:cs="宋体"/>
          <w:color w:val="000000"/>
          <w:sz w:val="24"/>
          <w:szCs w:val="24"/>
          <w:highlight w:val="none"/>
          <w:lang w:val="en-US" w:eastAsia="zh-CN"/>
        </w:rPr>
        <w:t>4、</w:t>
      </w:r>
      <w:r>
        <w:rPr>
          <w:rFonts w:hint="eastAsia" w:ascii="微软雅黑" w:hAnsi="微软雅黑" w:eastAsia="微软雅黑" w:cs="宋体"/>
          <w:color w:val="000000"/>
          <w:sz w:val="24"/>
          <w:szCs w:val="24"/>
          <w:highlight w:val="none"/>
        </w:rPr>
        <w:t>管理目标</w:t>
      </w:r>
      <w:bookmarkEnd w:id="5"/>
    </w:p>
    <w:p>
      <w:pPr>
        <w:ind w:firstLine="480"/>
        <w:jc w:val="left"/>
        <w:rPr>
          <w:rFonts w:ascii="微软雅黑" w:hAnsi="微软雅黑" w:eastAsia="微软雅黑" w:cs="宋体"/>
          <w:color w:val="000000"/>
          <w:sz w:val="24"/>
          <w:szCs w:val="24"/>
          <w:highlight w:val="none"/>
        </w:rPr>
      </w:pPr>
      <w:r>
        <w:rPr>
          <w:rFonts w:hint="eastAsia" w:ascii="微软雅黑" w:hAnsi="微软雅黑" w:eastAsia="微软雅黑" w:cs="宋体"/>
          <w:color w:val="000000"/>
          <w:sz w:val="24"/>
          <w:szCs w:val="24"/>
          <w:highlight w:val="none"/>
        </w:rPr>
        <w:t>1.决策层目标：通过精细化决策分析，使院长直观的了解医院在一个时期内的动态，包括人员、资产、负债、效益、效率等各方面情况，根据需要了解各项经济指标情况，为进行经营管理的决策提供数据参考。</w:t>
      </w:r>
    </w:p>
    <w:p>
      <w:pPr>
        <w:ind w:firstLine="480"/>
        <w:jc w:val="left"/>
        <w:rPr>
          <w:rFonts w:ascii="微软雅黑" w:hAnsi="微软雅黑" w:eastAsia="微软雅黑" w:cs="宋体"/>
          <w:color w:val="000000"/>
          <w:sz w:val="24"/>
          <w:szCs w:val="24"/>
          <w:highlight w:val="none"/>
        </w:rPr>
      </w:pPr>
      <w:r>
        <w:rPr>
          <w:rFonts w:hint="eastAsia" w:ascii="微软雅黑" w:hAnsi="微软雅黑" w:eastAsia="微软雅黑" w:cs="宋体"/>
          <w:color w:val="000000"/>
          <w:sz w:val="24"/>
          <w:szCs w:val="24"/>
          <w:highlight w:val="none"/>
        </w:rPr>
        <w:t>2.科室管理目标：使科主任及科室管理人员了解科室的整体情况，包括科室的收入、支出、结余、成本构成、均次收费水平、工作量、预算执行情况、绩效情况等，了解科室在医院的整体排名情况，找出存在问题，为改善科室管理提供依据。</w:t>
      </w:r>
    </w:p>
    <w:p>
      <w:pPr>
        <w:ind w:firstLine="480"/>
        <w:jc w:val="left"/>
        <w:rPr>
          <w:rFonts w:ascii="微软雅黑" w:hAnsi="微软雅黑" w:eastAsia="微软雅黑" w:cs="宋体"/>
          <w:color w:val="000000"/>
          <w:sz w:val="24"/>
          <w:szCs w:val="24"/>
          <w:highlight w:val="none"/>
        </w:rPr>
      </w:pPr>
      <w:r>
        <w:rPr>
          <w:rFonts w:hint="eastAsia" w:ascii="微软雅黑" w:hAnsi="微软雅黑" w:eastAsia="微软雅黑" w:cs="宋体"/>
          <w:color w:val="000000"/>
          <w:sz w:val="24"/>
          <w:szCs w:val="24"/>
          <w:highlight w:val="none"/>
        </w:rPr>
        <w:t>3.财务管理目标：使财务人员从繁杂的数据中取得有价值的数据，直观的了解医院的运营状况，大大缩短分析周期，过去财务分析，分析人员在报表工作结束后需要一段时期才能做出分析报告，而使用分析软件后，分析结果立刻出来，为医院的管理决策节约了时间。</w:t>
      </w:r>
    </w:p>
    <w:p>
      <w:pPr>
        <w:ind w:firstLine="480"/>
        <w:rPr>
          <w:rFonts w:ascii="微软雅黑" w:hAnsi="微软雅黑" w:eastAsia="微软雅黑"/>
          <w:sz w:val="24"/>
          <w:szCs w:val="24"/>
          <w:highlight w:val="none"/>
        </w:rPr>
      </w:pPr>
      <w:r>
        <w:rPr>
          <w:rFonts w:hint="eastAsia" w:ascii="微软雅黑" w:hAnsi="微软雅黑" w:eastAsia="微软雅黑"/>
          <w:sz w:val="24"/>
          <w:szCs w:val="24"/>
          <w:highlight w:val="none"/>
        </w:rPr>
        <w:t>4．业务管理目标：优化医院的资源信息传递、管理、利用的效率；建立健康、协调、资源共享、系统高效的信息化系统；促进医院效率的改善和整体协调；缩短医院分析、实施、控制资源信息循环周期；预测医院管理决策风险和收益情况；加快医院的运营速度。提高整个医院的管理效率，给医疗服务机构带来额外的业绩增长潜力。</w:t>
      </w:r>
    </w:p>
    <w:p>
      <w:pPr>
        <w:rPr>
          <w:rFonts w:ascii="微软雅黑" w:hAnsi="微软雅黑" w:eastAsia="微软雅黑"/>
          <w:sz w:val="24"/>
          <w:szCs w:val="24"/>
          <w:highlight w:val="none"/>
        </w:rPr>
      </w:pPr>
    </w:p>
    <w:p>
      <w:pPr>
        <w:pStyle w:val="2"/>
        <w:numPr>
          <w:ilvl w:val="0"/>
          <w:numId w:val="0"/>
        </w:numPr>
        <w:spacing w:before="0" w:after="0" w:line="240" w:lineRule="auto"/>
        <w:jc w:val="left"/>
        <w:rPr>
          <w:rFonts w:ascii="微软雅黑" w:hAnsi="微软雅黑" w:eastAsia="微软雅黑" w:cs="宋体"/>
          <w:color w:val="000000"/>
          <w:sz w:val="32"/>
          <w:szCs w:val="32"/>
          <w:highlight w:val="none"/>
        </w:rPr>
      </w:pPr>
      <w:bookmarkStart w:id="6" w:name="_Toc7830"/>
      <w:r>
        <w:rPr>
          <w:rFonts w:hint="eastAsia" w:ascii="微软雅黑" w:hAnsi="微软雅黑" w:eastAsia="微软雅黑" w:cs="宋体"/>
          <w:color w:val="000000"/>
          <w:sz w:val="32"/>
          <w:szCs w:val="32"/>
          <w:highlight w:val="none"/>
        </w:rPr>
        <w:t>三、项目建设功能需求</w:t>
      </w:r>
      <w:bookmarkEnd w:id="6"/>
    </w:p>
    <w:p>
      <w:pPr>
        <w:pStyle w:val="3"/>
        <w:numPr>
          <w:ilvl w:val="1"/>
          <w:numId w:val="3"/>
        </w:numPr>
        <w:tabs>
          <w:tab w:val="left" w:pos="576"/>
        </w:tabs>
        <w:spacing w:before="0" w:after="0" w:line="240" w:lineRule="auto"/>
        <w:rPr>
          <w:rFonts w:ascii="微软雅黑" w:hAnsi="微软雅黑" w:eastAsia="微软雅黑"/>
          <w:sz w:val="30"/>
          <w:szCs w:val="30"/>
          <w:highlight w:val="none"/>
        </w:rPr>
      </w:pPr>
      <w:bookmarkStart w:id="7" w:name="_Toc18755"/>
      <w:r>
        <w:rPr>
          <w:rFonts w:hint="eastAsia" w:ascii="微软雅黑" w:hAnsi="微软雅黑" w:eastAsia="微软雅黑"/>
          <w:sz w:val="30"/>
          <w:szCs w:val="30"/>
          <w:highlight w:val="none"/>
        </w:rPr>
        <w:t>集成化业务需求</w:t>
      </w:r>
      <w:bookmarkEnd w:id="7"/>
    </w:p>
    <w:p>
      <w:pPr>
        <w:pStyle w:val="4"/>
        <w:numPr>
          <w:ilvl w:val="2"/>
          <w:numId w:val="4"/>
        </w:numPr>
        <w:spacing w:before="0" w:after="0" w:line="240" w:lineRule="auto"/>
        <w:rPr>
          <w:rFonts w:ascii="微软雅黑" w:hAnsi="微软雅黑" w:eastAsia="微软雅黑" w:cs="宋体"/>
          <w:color w:val="000000"/>
          <w:sz w:val="28"/>
          <w:szCs w:val="28"/>
          <w:highlight w:val="none"/>
        </w:rPr>
      </w:pPr>
      <w:bookmarkStart w:id="8" w:name="_Toc2187"/>
      <w:r>
        <w:rPr>
          <w:rFonts w:hint="eastAsia" w:ascii="微软雅黑" w:hAnsi="微软雅黑" w:eastAsia="微软雅黑" w:cs="宋体"/>
          <w:color w:val="000000"/>
          <w:sz w:val="28"/>
          <w:szCs w:val="28"/>
          <w:highlight w:val="none"/>
        </w:rPr>
        <w:t>建立医院综合运营精细化管理平台</w:t>
      </w:r>
      <w:bookmarkEnd w:id="8"/>
    </w:p>
    <w:p>
      <w:pPr>
        <w:ind w:firstLine="480"/>
        <w:rPr>
          <w:rFonts w:ascii="微软雅黑" w:hAnsi="微软雅黑" w:eastAsia="微软雅黑"/>
          <w:sz w:val="24"/>
          <w:szCs w:val="24"/>
          <w:highlight w:val="none"/>
        </w:rPr>
      </w:pPr>
      <w:r>
        <w:rPr>
          <w:rFonts w:hint="eastAsia" w:ascii="微软雅黑" w:hAnsi="微软雅黑" w:eastAsia="微软雅黑"/>
          <w:sz w:val="24"/>
          <w:szCs w:val="24"/>
          <w:highlight w:val="none"/>
        </w:rPr>
        <w:t>1.基础字典的统一和规范：会计科目编码、科室编码、物资编码、固定资产编码、收支项目编码、经营指标编码、医疗项目编码、病种编码等管理单元的统一；</w:t>
      </w:r>
    </w:p>
    <w:p>
      <w:pPr>
        <w:ind w:firstLine="480"/>
        <w:rPr>
          <w:rFonts w:ascii="微软雅黑" w:hAnsi="微软雅黑" w:eastAsia="微软雅黑"/>
          <w:sz w:val="24"/>
          <w:szCs w:val="24"/>
          <w:highlight w:val="none"/>
        </w:rPr>
      </w:pPr>
      <w:r>
        <w:rPr>
          <w:rFonts w:hint="eastAsia" w:ascii="微软雅黑" w:hAnsi="微软雅黑" w:eastAsia="微软雅黑"/>
          <w:sz w:val="24"/>
          <w:szCs w:val="24"/>
          <w:highlight w:val="none"/>
        </w:rPr>
        <w:t>2.期间的统一：会计核算期间、成本核算期间、预算管理和控制周期、薪酬发放周期、绩效考核周期以及物资和资产的管理期间都应该保持一致；</w:t>
      </w:r>
    </w:p>
    <w:p>
      <w:pPr>
        <w:ind w:firstLine="480"/>
        <w:rPr>
          <w:rFonts w:ascii="微软雅黑" w:hAnsi="微软雅黑" w:eastAsia="微软雅黑"/>
          <w:sz w:val="24"/>
          <w:szCs w:val="24"/>
          <w:highlight w:val="none"/>
        </w:rPr>
      </w:pPr>
      <w:r>
        <w:rPr>
          <w:rFonts w:hint="eastAsia" w:ascii="微软雅黑" w:hAnsi="微软雅黑" w:eastAsia="微软雅黑"/>
          <w:sz w:val="24"/>
          <w:szCs w:val="24"/>
          <w:highlight w:val="none"/>
        </w:rPr>
        <w:t>3.管理权限的界定：对业务操作人员，按其职责划分管理权限，具有场景管理、角色管理、权限管理功能；</w:t>
      </w:r>
    </w:p>
    <w:p>
      <w:pPr>
        <w:ind w:firstLine="480"/>
        <w:rPr>
          <w:rFonts w:ascii="微软雅黑" w:hAnsi="微软雅黑" w:eastAsia="微软雅黑"/>
          <w:sz w:val="24"/>
          <w:szCs w:val="24"/>
          <w:highlight w:val="none"/>
        </w:rPr>
      </w:pPr>
      <w:r>
        <w:rPr>
          <w:rFonts w:hint="eastAsia" w:ascii="微软雅黑" w:hAnsi="微软雅黑" w:eastAsia="微软雅黑"/>
          <w:sz w:val="24"/>
          <w:szCs w:val="24"/>
          <w:highlight w:val="none"/>
        </w:rPr>
        <w:t>4.成本数据的统一：完成科室成本数据的分摊与估计、医疗项目成本的分配、病种成本数据的计算等；</w:t>
      </w:r>
    </w:p>
    <w:p>
      <w:pPr>
        <w:ind w:firstLine="480"/>
        <w:rPr>
          <w:rFonts w:ascii="微软雅黑" w:hAnsi="微软雅黑" w:eastAsia="微软雅黑"/>
          <w:sz w:val="24"/>
          <w:szCs w:val="24"/>
          <w:highlight w:val="none"/>
        </w:rPr>
      </w:pPr>
      <w:r>
        <w:rPr>
          <w:rFonts w:hint="eastAsia" w:ascii="微软雅黑" w:hAnsi="微软雅黑" w:eastAsia="微软雅黑"/>
          <w:sz w:val="24"/>
          <w:szCs w:val="24"/>
          <w:highlight w:val="none"/>
        </w:rPr>
        <w:t>5.决策分析数据的准备：根据设置的字典编码规范、业务指标规范、业务数据规范、指标计算逻辑等平台级的数据定义，对原始业务数据库中的数据进行过滤和重新组合，并按照业务主题数据库设计要求进行数据存贮，形成一套完整的经济运行资源数据，为经济运行分析决策以及其他业务系统的调用准备好数据。</w:t>
      </w:r>
    </w:p>
    <w:p>
      <w:pPr>
        <w:ind w:firstLine="480"/>
        <w:rPr>
          <w:rFonts w:ascii="微软雅黑" w:hAnsi="微软雅黑" w:eastAsia="微软雅黑"/>
          <w:sz w:val="24"/>
          <w:szCs w:val="24"/>
          <w:highlight w:val="none"/>
        </w:rPr>
      </w:pPr>
    </w:p>
    <w:p>
      <w:pPr>
        <w:pStyle w:val="4"/>
        <w:numPr>
          <w:ilvl w:val="2"/>
          <w:numId w:val="4"/>
        </w:numPr>
        <w:spacing w:before="0" w:after="0" w:line="240" w:lineRule="auto"/>
        <w:rPr>
          <w:rFonts w:ascii="微软雅黑" w:hAnsi="微软雅黑" w:eastAsia="微软雅黑" w:cs="宋体"/>
          <w:color w:val="000000"/>
          <w:sz w:val="28"/>
          <w:szCs w:val="28"/>
          <w:highlight w:val="none"/>
        </w:rPr>
      </w:pPr>
      <w:bookmarkStart w:id="9" w:name="_Toc9592"/>
      <w:r>
        <w:rPr>
          <w:rFonts w:hint="eastAsia" w:ascii="微软雅黑" w:hAnsi="微软雅黑" w:eastAsia="微软雅黑" w:cs="宋体"/>
          <w:color w:val="000000"/>
          <w:sz w:val="28"/>
          <w:szCs w:val="28"/>
          <w:highlight w:val="none"/>
        </w:rPr>
        <w:t>实现集成化业务需求</w:t>
      </w:r>
      <w:bookmarkEnd w:id="9"/>
    </w:p>
    <w:p>
      <w:pPr>
        <w:pStyle w:val="5"/>
        <w:numPr>
          <w:ilvl w:val="2"/>
          <w:numId w:val="5"/>
        </w:numPr>
        <w:tabs>
          <w:tab w:val="left" w:pos="993"/>
        </w:tabs>
        <w:spacing w:before="0" w:after="0" w:line="240" w:lineRule="auto"/>
        <w:rPr>
          <w:rFonts w:ascii="微软雅黑" w:hAnsi="微软雅黑" w:eastAsia="微软雅黑" w:cs="宋体"/>
          <w:color w:val="000000"/>
          <w:sz w:val="24"/>
          <w:szCs w:val="24"/>
          <w:highlight w:val="none"/>
        </w:rPr>
      </w:pPr>
      <w:bookmarkStart w:id="10" w:name="_Toc13396"/>
      <w:r>
        <w:rPr>
          <w:rFonts w:hint="eastAsia" w:ascii="微软雅黑" w:hAnsi="微软雅黑" w:eastAsia="微软雅黑" w:cs="宋体"/>
          <w:color w:val="000000"/>
          <w:sz w:val="24"/>
          <w:szCs w:val="24"/>
          <w:highlight w:val="none"/>
        </w:rPr>
        <w:t>以财务为核心的业务整合逻辑</w:t>
      </w:r>
      <w:bookmarkEnd w:id="10"/>
    </w:p>
    <w:p>
      <w:pPr>
        <w:pStyle w:val="9"/>
        <w:widowControl/>
        <w:numPr>
          <w:ilvl w:val="0"/>
          <w:numId w:val="6"/>
        </w:numPr>
        <w:ind w:left="0" w:firstLine="480" w:firstLineChars="0"/>
        <w:jc w:val="left"/>
        <w:rPr>
          <w:rFonts w:ascii="微软雅黑" w:hAnsi="微软雅黑" w:eastAsia="微软雅黑" w:cs="Times New Roman"/>
          <w:color w:val="000000"/>
          <w:sz w:val="24"/>
          <w:szCs w:val="24"/>
          <w:highlight w:val="none"/>
        </w:rPr>
      </w:pPr>
      <w:r>
        <w:rPr>
          <w:rFonts w:hint="eastAsia" w:ascii="微软雅黑" w:hAnsi="微软雅黑" w:eastAsia="微软雅黑" w:cs="宋体"/>
          <w:color w:val="000000"/>
          <w:sz w:val="24"/>
          <w:szCs w:val="24"/>
          <w:highlight w:val="none"/>
        </w:rPr>
        <w:t>固定资产系统发生的入库、出库、维修、折旧等业务处理单据可自动生成会计凭证；</w:t>
      </w:r>
    </w:p>
    <w:p>
      <w:pPr>
        <w:pStyle w:val="9"/>
        <w:widowControl/>
        <w:numPr>
          <w:ilvl w:val="0"/>
          <w:numId w:val="6"/>
        </w:numPr>
        <w:ind w:left="0" w:firstLine="480" w:firstLineChars="0"/>
        <w:jc w:val="left"/>
        <w:rPr>
          <w:rFonts w:ascii="微软雅黑" w:hAnsi="微软雅黑" w:eastAsia="微软雅黑" w:cs="Times New Roman"/>
          <w:color w:val="000000"/>
          <w:sz w:val="24"/>
          <w:szCs w:val="24"/>
          <w:highlight w:val="none"/>
        </w:rPr>
      </w:pPr>
      <w:r>
        <w:rPr>
          <w:rFonts w:hint="eastAsia" w:ascii="微软雅黑" w:hAnsi="微软雅黑" w:eastAsia="微软雅黑" w:cs="宋体"/>
          <w:color w:val="000000"/>
          <w:sz w:val="24"/>
          <w:szCs w:val="24"/>
          <w:highlight w:val="none"/>
        </w:rPr>
        <w:t>物流管理系统发生的采购、入库、出库等业务处理单据可自动生成会计凭证；</w:t>
      </w:r>
    </w:p>
    <w:p>
      <w:pPr>
        <w:pStyle w:val="9"/>
        <w:widowControl/>
        <w:numPr>
          <w:ilvl w:val="0"/>
          <w:numId w:val="6"/>
        </w:numPr>
        <w:ind w:left="0" w:firstLine="480" w:firstLineChars="0"/>
        <w:jc w:val="left"/>
        <w:rPr>
          <w:rFonts w:ascii="微软雅黑" w:hAnsi="微软雅黑" w:eastAsia="微软雅黑" w:cs="Times New Roman"/>
          <w:color w:val="000000"/>
          <w:sz w:val="24"/>
          <w:szCs w:val="24"/>
          <w:highlight w:val="none"/>
        </w:rPr>
      </w:pPr>
      <w:r>
        <w:rPr>
          <w:rFonts w:ascii="微软雅黑" w:hAnsi="微软雅黑" w:eastAsia="微软雅黑" w:cs="宋体"/>
          <w:color w:val="000000"/>
          <w:sz w:val="24"/>
          <w:szCs w:val="24"/>
          <w:highlight w:val="none"/>
        </w:rPr>
        <w:t>HIS</w:t>
      </w:r>
      <w:r>
        <w:rPr>
          <w:rFonts w:hint="eastAsia" w:ascii="微软雅黑" w:hAnsi="微软雅黑" w:eastAsia="微软雅黑" w:cs="宋体"/>
          <w:color w:val="000000"/>
          <w:sz w:val="24"/>
          <w:szCs w:val="24"/>
          <w:highlight w:val="none"/>
        </w:rPr>
        <w:t>系统发生的门诊收费、住院预交、出院结算、在院结算等业务单据可自动生成会计凭证；</w:t>
      </w:r>
    </w:p>
    <w:p>
      <w:pPr>
        <w:pStyle w:val="9"/>
        <w:widowControl/>
        <w:numPr>
          <w:ilvl w:val="0"/>
          <w:numId w:val="6"/>
        </w:numPr>
        <w:ind w:left="0" w:firstLine="480" w:firstLineChars="0"/>
        <w:jc w:val="left"/>
        <w:rPr>
          <w:rFonts w:ascii="微软雅黑" w:hAnsi="微软雅黑" w:eastAsia="微软雅黑" w:cs="宋体"/>
          <w:color w:val="000000"/>
          <w:sz w:val="24"/>
          <w:szCs w:val="24"/>
          <w:highlight w:val="none"/>
        </w:rPr>
      </w:pPr>
      <w:r>
        <w:rPr>
          <w:rFonts w:hint="eastAsia" w:ascii="微软雅黑" w:hAnsi="微软雅黑" w:eastAsia="微软雅黑" w:cs="宋体"/>
          <w:color w:val="000000"/>
          <w:sz w:val="24"/>
          <w:szCs w:val="24"/>
          <w:highlight w:val="none"/>
        </w:rPr>
        <w:t>人力资源系统中的薪酬信息、人员归属信息与会计核算系统中的薪酬发放同步，并自动成成会计凭证。</w:t>
      </w:r>
    </w:p>
    <w:p>
      <w:pPr>
        <w:pStyle w:val="9"/>
        <w:widowControl/>
        <w:ind w:left="480" w:firstLine="0" w:firstLineChars="0"/>
        <w:jc w:val="left"/>
        <w:rPr>
          <w:rFonts w:ascii="微软雅黑" w:hAnsi="微软雅黑" w:eastAsia="微软雅黑" w:cs="Times New Roman"/>
          <w:color w:val="000000"/>
          <w:sz w:val="24"/>
          <w:szCs w:val="24"/>
          <w:highlight w:val="none"/>
        </w:rPr>
      </w:pPr>
    </w:p>
    <w:p>
      <w:pPr>
        <w:pStyle w:val="5"/>
        <w:numPr>
          <w:ilvl w:val="2"/>
          <w:numId w:val="5"/>
        </w:numPr>
        <w:tabs>
          <w:tab w:val="left" w:pos="993"/>
        </w:tabs>
        <w:spacing w:before="0" w:after="0" w:line="240" w:lineRule="auto"/>
        <w:rPr>
          <w:rFonts w:ascii="微软雅黑" w:hAnsi="微软雅黑" w:eastAsia="微软雅黑" w:cs="宋体"/>
          <w:color w:val="000000"/>
          <w:sz w:val="24"/>
          <w:szCs w:val="24"/>
          <w:highlight w:val="none"/>
        </w:rPr>
      </w:pPr>
      <w:bookmarkStart w:id="11" w:name="_Toc13578"/>
      <w:r>
        <w:rPr>
          <w:rFonts w:hint="eastAsia" w:ascii="微软雅黑" w:hAnsi="微软雅黑" w:eastAsia="微软雅黑" w:cs="宋体"/>
          <w:color w:val="000000"/>
          <w:sz w:val="24"/>
          <w:szCs w:val="24"/>
          <w:highlight w:val="none"/>
        </w:rPr>
        <w:t>以预算为核心的业务整合逻辑</w:t>
      </w:r>
      <w:bookmarkEnd w:id="11"/>
    </w:p>
    <w:p>
      <w:pPr>
        <w:pStyle w:val="9"/>
        <w:widowControl/>
        <w:numPr>
          <w:ilvl w:val="0"/>
          <w:numId w:val="7"/>
        </w:numPr>
        <w:ind w:left="0" w:firstLine="480" w:firstLineChars="0"/>
        <w:jc w:val="left"/>
        <w:rPr>
          <w:rFonts w:ascii="微软雅黑" w:hAnsi="微软雅黑" w:eastAsia="微软雅黑" w:cs="Times New Roman"/>
          <w:color w:val="000000"/>
          <w:sz w:val="24"/>
          <w:szCs w:val="24"/>
          <w:highlight w:val="none"/>
        </w:rPr>
      </w:pPr>
      <w:r>
        <w:rPr>
          <w:rFonts w:hint="eastAsia" w:ascii="微软雅黑" w:hAnsi="微软雅黑" w:eastAsia="微软雅黑" w:cs="宋体"/>
          <w:color w:val="000000"/>
          <w:sz w:val="24"/>
          <w:szCs w:val="24"/>
          <w:highlight w:val="none"/>
        </w:rPr>
        <w:t>预算系统中实现科室支出预算管理，并与会计核算系统自动建立借款、报销与支出环节的凭证生成功能；</w:t>
      </w:r>
    </w:p>
    <w:p>
      <w:pPr>
        <w:pStyle w:val="9"/>
        <w:widowControl/>
        <w:numPr>
          <w:ilvl w:val="0"/>
          <w:numId w:val="7"/>
        </w:numPr>
        <w:ind w:left="0" w:firstLine="480" w:firstLineChars="0"/>
        <w:jc w:val="left"/>
        <w:rPr>
          <w:rFonts w:ascii="微软雅黑" w:hAnsi="微软雅黑" w:eastAsia="微软雅黑" w:cs="Times New Roman"/>
          <w:color w:val="000000"/>
          <w:sz w:val="24"/>
          <w:szCs w:val="24"/>
          <w:highlight w:val="none"/>
        </w:rPr>
      </w:pPr>
      <w:r>
        <w:rPr>
          <w:rFonts w:hint="eastAsia" w:ascii="微软雅黑" w:hAnsi="微软雅黑" w:eastAsia="微软雅黑" w:cs="宋体"/>
          <w:color w:val="000000"/>
          <w:sz w:val="24"/>
          <w:szCs w:val="24"/>
          <w:highlight w:val="none"/>
        </w:rPr>
        <w:t>预算系统可依据成本核算系统的实际发生数自动核销预算；</w:t>
      </w:r>
    </w:p>
    <w:p>
      <w:pPr>
        <w:pStyle w:val="9"/>
        <w:widowControl/>
        <w:numPr>
          <w:ilvl w:val="0"/>
          <w:numId w:val="7"/>
        </w:numPr>
        <w:ind w:left="0" w:firstLine="480" w:firstLineChars="0"/>
        <w:jc w:val="left"/>
        <w:rPr>
          <w:rFonts w:ascii="微软雅黑" w:hAnsi="微软雅黑" w:eastAsia="微软雅黑" w:cs="宋体"/>
          <w:color w:val="000000"/>
          <w:sz w:val="24"/>
          <w:szCs w:val="24"/>
          <w:highlight w:val="none"/>
        </w:rPr>
      </w:pPr>
      <w:r>
        <w:rPr>
          <w:rFonts w:hint="eastAsia" w:ascii="微软雅黑" w:hAnsi="微软雅黑" w:eastAsia="微软雅黑" w:cs="宋体"/>
          <w:color w:val="000000"/>
          <w:sz w:val="24"/>
          <w:szCs w:val="24"/>
          <w:highlight w:val="none"/>
        </w:rPr>
        <w:t>预算系统可对物资采购、设备采购的实际发生数据进行核销、预警和反馈；</w:t>
      </w:r>
    </w:p>
    <w:p>
      <w:pPr>
        <w:pStyle w:val="9"/>
        <w:widowControl/>
        <w:numPr>
          <w:ilvl w:val="0"/>
          <w:numId w:val="7"/>
        </w:numPr>
        <w:ind w:left="0" w:firstLine="480" w:firstLineChars="0"/>
        <w:jc w:val="left"/>
        <w:rPr>
          <w:rFonts w:ascii="微软雅黑" w:hAnsi="微软雅黑" w:eastAsia="微软雅黑" w:cs="宋体"/>
          <w:color w:val="000000"/>
          <w:sz w:val="24"/>
          <w:szCs w:val="24"/>
          <w:highlight w:val="none"/>
        </w:rPr>
      </w:pPr>
      <w:r>
        <w:rPr>
          <w:rFonts w:hint="eastAsia" w:ascii="微软雅黑" w:hAnsi="微软雅黑" w:eastAsia="微软雅黑" w:cs="宋体"/>
          <w:color w:val="000000"/>
          <w:sz w:val="24"/>
          <w:szCs w:val="24"/>
          <w:highlight w:val="none"/>
        </w:rPr>
        <w:t>预算系统可对项目资金的支出情况进行核销、预警和反馈；</w:t>
      </w:r>
    </w:p>
    <w:p>
      <w:pPr>
        <w:pStyle w:val="9"/>
        <w:widowControl/>
        <w:numPr>
          <w:ilvl w:val="0"/>
          <w:numId w:val="7"/>
        </w:numPr>
        <w:ind w:left="0" w:firstLine="480" w:firstLineChars="0"/>
        <w:jc w:val="left"/>
        <w:rPr>
          <w:rFonts w:ascii="微软雅黑" w:hAnsi="微软雅黑" w:eastAsia="微软雅黑" w:cs="宋体"/>
          <w:color w:val="000000"/>
          <w:sz w:val="24"/>
          <w:szCs w:val="24"/>
          <w:highlight w:val="none"/>
        </w:rPr>
      </w:pPr>
      <w:r>
        <w:rPr>
          <w:rFonts w:hint="eastAsia" w:ascii="微软雅黑" w:hAnsi="微软雅黑" w:eastAsia="微软雅黑" w:cs="宋体"/>
          <w:color w:val="000000"/>
          <w:sz w:val="24"/>
          <w:szCs w:val="24"/>
          <w:highlight w:val="none"/>
        </w:rPr>
        <w:t>本期的预算数据结果可作为下期预算的基数。</w:t>
      </w:r>
    </w:p>
    <w:p>
      <w:pPr>
        <w:pStyle w:val="9"/>
        <w:widowControl/>
        <w:ind w:left="480" w:firstLine="0" w:firstLineChars="0"/>
        <w:jc w:val="left"/>
        <w:rPr>
          <w:rFonts w:ascii="微软雅黑" w:hAnsi="微软雅黑" w:eastAsia="微软雅黑" w:cs="Times New Roman"/>
          <w:color w:val="000000"/>
          <w:sz w:val="24"/>
          <w:szCs w:val="24"/>
          <w:highlight w:val="none"/>
        </w:rPr>
      </w:pPr>
    </w:p>
    <w:p>
      <w:pPr>
        <w:pStyle w:val="5"/>
        <w:numPr>
          <w:ilvl w:val="2"/>
          <w:numId w:val="5"/>
        </w:numPr>
        <w:tabs>
          <w:tab w:val="left" w:pos="993"/>
        </w:tabs>
        <w:spacing w:before="0" w:after="0" w:line="240" w:lineRule="auto"/>
        <w:rPr>
          <w:rFonts w:ascii="微软雅黑" w:hAnsi="微软雅黑" w:eastAsia="微软雅黑" w:cs="宋体"/>
          <w:color w:val="000000"/>
          <w:sz w:val="24"/>
          <w:szCs w:val="24"/>
          <w:highlight w:val="none"/>
        </w:rPr>
      </w:pPr>
      <w:bookmarkStart w:id="12" w:name="_Toc20600"/>
      <w:r>
        <w:rPr>
          <w:rFonts w:hint="eastAsia" w:ascii="微软雅黑" w:hAnsi="微软雅黑" w:eastAsia="微软雅黑" w:cs="宋体"/>
          <w:color w:val="000000"/>
          <w:sz w:val="24"/>
          <w:szCs w:val="24"/>
          <w:highlight w:val="none"/>
        </w:rPr>
        <w:t>以成本为核心的业务整合逻辑</w:t>
      </w:r>
      <w:bookmarkEnd w:id="12"/>
    </w:p>
    <w:p>
      <w:pPr>
        <w:pStyle w:val="9"/>
        <w:widowControl/>
        <w:numPr>
          <w:ilvl w:val="0"/>
          <w:numId w:val="8"/>
        </w:numPr>
        <w:ind w:left="0" w:firstLine="480" w:firstLineChars="0"/>
        <w:jc w:val="left"/>
        <w:rPr>
          <w:rFonts w:ascii="微软雅黑" w:hAnsi="微软雅黑" w:eastAsia="微软雅黑" w:cs="Times New Roman"/>
          <w:color w:val="000000"/>
          <w:sz w:val="24"/>
          <w:szCs w:val="24"/>
          <w:highlight w:val="none"/>
        </w:rPr>
      </w:pPr>
      <w:r>
        <w:rPr>
          <w:rFonts w:hint="eastAsia" w:ascii="微软雅黑" w:hAnsi="微软雅黑" w:eastAsia="微软雅黑" w:cs="宋体"/>
          <w:color w:val="000000"/>
          <w:sz w:val="24"/>
          <w:szCs w:val="24"/>
          <w:highlight w:val="none"/>
        </w:rPr>
        <w:t>成本核算系统获取物流管理系统中的科室材料消耗数据作为科室直接材料成本。</w:t>
      </w:r>
    </w:p>
    <w:p>
      <w:pPr>
        <w:pStyle w:val="9"/>
        <w:widowControl/>
        <w:numPr>
          <w:ilvl w:val="0"/>
          <w:numId w:val="8"/>
        </w:numPr>
        <w:ind w:left="0" w:firstLine="480" w:firstLineChars="0"/>
        <w:jc w:val="left"/>
        <w:rPr>
          <w:rFonts w:ascii="微软雅黑" w:hAnsi="微软雅黑" w:eastAsia="微软雅黑" w:cs="Times New Roman"/>
          <w:color w:val="000000"/>
          <w:sz w:val="24"/>
          <w:szCs w:val="24"/>
          <w:highlight w:val="none"/>
        </w:rPr>
      </w:pPr>
      <w:r>
        <w:rPr>
          <w:rFonts w:hint="eastAsia" w:ascii="微软雅黑" w:hAnsi="微软雅黑" w:eastAsia="微软雅黑" w:cs="宋体"/>
          <w:color w:val="000000"/>
          <w:sz w:val="24"/>
          <w:szCs w:val="24"/>
          <w:highlight w:val="none"/>
        </w:rPr>
        <w:t>成本核算系统获取固定资产管理系统中的科室使用设备、房屋等固定资产的折旧、维修费用作为科室直接成本。</w:t>
      </w:r>
    </w:p>
    <w:p>
      <w:pPr>
        <w:pStyle w:val="9"/>
        <w:widowControl/>
        <w:numPr>
          <w:ilvl w:val="0"/>
          <w:numId w:val="8"/>
        </w:numPr>
        <w:ind w:left="0" w:firstLine="480" w:firstLineChars="0"/>
        <w:jc w:val="left"/>
        <w:rPr>
          <w:rFonts w:ascii="微软雅黑" w:hAnsi="微软雅黑" w:eastAsia="微软雅黑" w:cs="Times New Roman"/>
          <w:color w:val="000000"/>
          <w:sz w:val="24"/>
          <w:szCs w:val="24"/>
          <w:highlight w:val="none"/>
        </w:rPr>
      </w:pPr>
      <w:r>
        <w:rPr>
          <w:rFonts w:hint="eastAsia" w:ascii="微软雅黑" w:hAnsi="微软雅黑" w:eastAsia="微软雅黑" w:cs="宋体"/>
          <w:color w:val="000000"/>
          <w:sz w:val="24"/>
          <w:szCs w:val="24"/>
          <w:highlight w:val="none"/>
        </w:rPr>
        <w:t>成本核算系统获取会计核算系统中的医疗支出、管理支出科目下的支出数据作为科室直接成本。</w:t>
      </w:r>
    </w:p>
    <w:p>
      <w:pPr>
        <w:pStyle w:val="9"/>
        <w:widowControl/>
        <w:numPr>
          <w:ilvl w:val="0"/>
          <w:numId w:val="8"/>
        </w:numPr>
        <w:ind w:left="0" w:firstLine="480" w:firstLineChars="0"/>
        <w:jc w:val="left"/>
        <w:rPr>
          <w:rFonts w:ascii="微软雅黑" w:hAnsi="微软雅黑" w:eastAsia="微软雅黑" w:cs="Times New Roman"/>
          <w:color w:val="000000"/>
          <w:sz w:val="24"/>
          <w:szCs w:val="24"/>
          <w:highlight w:val="none"/>
        </w:rPr>
      </w:pPr>
      <w:r>
        <w:rPr>
          <w:rFonts w:hint="eastAsia" w:ascii="微软雅黑" w:hAnsi="微软雅黑" w:eastAsia="微软雅黑" w:cs="宋体"/>
          <w:color w:val="000000"/>
          <w:sz w:val="24"/>
          <w:szCs w:val="24"/>
          <w:highlight w:val="none"/>
        </w:rPr>
        <w:t>成本核算系统获取</w:t>
      </w:r>
      <w:r>
        <w:rPr>
          <w:rFonts w:ascii="微软雅黑" w:hAnsi="微软雅黑" w:eastAsia="微软雅黑" w:cs="宋体"/>
          <w:color w:val="000000"/>
          <w:sz w:val="24"/>
          <w:szCs w:val="24"/>
          <w:highlight w:val="none"/>
        </w:rPr>
        <w:t>HIS</w:t>
      </w:r>
      <w:r>
        <w:rPr>
          <w:rFonts w:hint="eastAsia" w:ascii="微软雅黑" w:hAnsi="微软雅黑" w:eastAsia="微软雅黑" w:cs="宋体"/>
          <w:color w:val="000000"/>
          <w:sz w:val="24"/>
          <w:szCs w:val="24"/>
          <w:highlight w:val="none"/>
        </w:rPr>
        <w:t>系统中发生的科室收入、门急诊人次、住院床日数据。</w:t>
      </w:r>
    </w:p>
    <w:p>
      <w:pPr>
        <w:pStyle w:val="9"/>
        <w:widowControl/>
        <w:ind w:firstLineChars="0"/>
        <w:jc w:val="left"/>
        <w:rPr>
          <w:rFonts w:ascii="微软雅黑" w:hAnsi="微软雅黑" w:eastAsia="微软雅黑" w:cs="宋体"/>
          <w:color w:val="000000"/>
          <w:sz w:val="24"/>
          <w:szCs w:val="24"/>
          <w:highlight w:val="none"/>
        </w:rPr>
      </w:pPr>
    </w:p>
    <w:p>
      <w:pPr>
        <w:pStyle w:val="3"/>
        <w:numPr>
          <w:ilvl w:val="1"/>
          <w:numId w:val="3"/>
        </w:numPr>
        <w:tabs>
          <w:tab w:val="left" w:pos="576"/>
        </w:tabs>
        <w:spacing w:before="0" w:after="0" w:line="240" w:lineRule="auto"/>
        <w:rPr>
          <w:rFonts w:ascii="微软雅黑" w:hAnsi="微软雅黑" w:eastAsia="微软雅黑"/>
          <w:sz w:val="30"/>
          <w:szCs w:val="30"/>
          <w:highlight w:val="none"/>
        </w:rPr>
      </w:pPr>
      <w:bookmarkStart w:id="13" w:name="_Toc29997"/>
      <w:r>
        <w:rPr>
          <w:rFonts w:hint="eastAsia" w:ascii="微软雅黑" w:hAnsi="微软雅黑" w:eastAsia="微软雅黑"/>
          <w:sz w:val="30"/>
          <w:szCs w:val="30"/>
          <w:highlight w:val="none"/>
        </w:rPr>
        <w:t>分系统业务需求</w:t>
      </w:r>
      <w:bookmarkEnd w:id="13"/>
    </w:p>
    <w:p>
      <w:pPr>
        <w:pStyle w:val="4"/>
        <w:numPr>
          <w:ilvl w:val="2"/>
          <w:numId w:val="9"/>
        </w:numPr>
        <w:spacing w:before="0" w:after="0" w:line="240" w:lineRule="auto"/>
        <w:rPr>
          <w:rFonts w:ascii="微软雅黑" w:hAnsi="微软雅黑" w:eastAsia="微软雅黑" w:cs="宋体"/>
          <w:color w:val="000000"/>
          <w:sz w:val="28"/>
          <w:szCs w:val="28"/>
          <w:highlight w:val="none"/>
        </w:rPr>
      </w:pPr>
      <w:bookmarkStart w:id="14" w:name="_Toc29441"/>
      <w:bookmarkStart w:id="15" w:name="_Toc331574642"/>
      <w:bookmarkStart w:id="16" w:name="_Toc332039864"/>
      <w:bookmarkStart w:id="17" w:name="_Toc330914112"/>
      <w:bookmarkStart w:id="18" w:name="_Toc296011132"/>
      <w:bookmarkStart w:id="19" w:name="_Toc288663530"/>
      <w:bookmarkStart w:id="20" w:name="_Toc288657511"/>
      <w:r>
        <w:rPr>
          <w:rFonts w:hint="eastAsia" w:ascii="微软雅黑" w:hAnsi="微软雅黑" w:eastAsia="微软雅黑" w:cs="宋体"/>
          <w:color w:val="000000"/>
          <w:sz w:val="28"/>
          <w:szCs w:val="28"/>
          <w:highlight w:val="none"/>
        </w:rPr>
        <w:t>业务基础平台系统</w:t>
      </w:r>
      <w:bookmarkEnd w:id="14"/>
    </w:p>
    <w:p>
      <w:pPr>
        <w:pStyle w:val="8"/>
        <w:spacing w:before="0" w:after="0" w:line="240" w:lineRule="auto"/>
        <w:ind w:left="780"/>
        <w:contextualSpacing w:val="0"/>
        <w:rPr>
          <w:rFonts w:ascii="微软雅黑" w:hAnsi="微软雅黑" w:eastAsia="微软雅黑"/>
          <w:sz w:val="24"/>
          <w:szCs w:val="24"/>
          <w:highlight w:val="none"/>
        </w:rPr>
      </w:pPr>
      <w:r>
        <w:rPr>
          <w:rFonts w:hint="eastAsia" w:ascii="微软雅黑" w:hAnsi="微软雅黑" w:eastAsia="微软雅黑"/>
          <w:sz w:val="24"/>
          <w:szCs w:val="24"/>
          <w:highlight w:val="none"/>
        </w:rPr>
        <w:t>基础平台需要实现的功能如下：</w:t>
      </w:r>
    </w:p>
    <w:p>
      <w:pPr>
        <w:numPr>
          <w:ilvl w:val="0"/>
          <w:numId w:val="10"/>
        </w:numPr>
        <w:tabs>
          <w:tab w:val="left" w:pos="851"/>
        </w:tabs>
        <w:ind w:left="851"/>
        <w:jc w:val="left"/>
        <w:rPr>
          <w:rFonts w:ascii="微软雅黑" w:hAnsi="微软雅黑" w:eastAsia="微软雅黑" w:cs="宋体"/>
          <w:bCs/>
          <w:color w:val="000000"/>
          <w:sz w:val="24"/>
          <w:szCs w:val="24"/>
          <w:highlight w:val="none"/>
        </w:rPr>
      </w:pPr>
      <w:r>
        <w:rPr>
          <w:rFonts w:hint="eastAsia" w:ascii="微软雅黑" w:hAnsi="微软雅黑" w:eastAsia="微软雅黑" w:cs="宋体"/>
          <w:bCs/>
          <w:color w:val="000000"/>
          <w:sz w:val="24"/>
          <w:szCs w:val="24"/>
          <w:highlight w:val="none"/>
        </w:rPr>
        <w:t>系统信息</w:t>
      </w:r>
    </w:p>
    <w:p>
      <w:pPr>
        <w:ind w:firstLine="420"/>
        <w:rPr>
          <w:rFonts w:ascii="微软雅黑" w:hAnsi="微软雅黑" w:eastAsia="微软雅黑"/>
          <w:sz w:val="24"/>
          <w:szCs w:val="24"/>
          <w:highlight w:val="none"/>
        </w:rPr>
      </w:pPr>
      <w:r>
        <w:rPr>
          <w:rFonts w:hint="eastAsia" w:ascii="微软雅黑" w:hAnsi="微软雅黑" w:eastAsia="微软雅黑"/>
          <w:sz w:val="24"/>
          <w:szCs w:val="24"/>
          <w:highlight w:val="none"/>
        </w:rPr>
        <w:t>包括具体某个单位公用的部门编码、供应商编码、职工信息、库房信息、生产厂商信息、项目信息、病人信息、付款条件、运输方式、HIS连接信息、成本信息等编码信息；以及单位参数、系统联用、核算账套、会计期间设置，单位、账套级参数设置等信息。</w:t>
      </w:r>
    </w:p>
    <w:p>
      <w:pPr>
        <w:numPr>
          <w:ilvl w:val="0"/>
          <w:numId w:val="10"/>
        </w:numPr>
        <w:tabs>
          <w:tab w:val="left" w:pos="851"/>
        </w:tabs>
        <w:ind w:left="851"/>
        <w:jc w:val="left"/>
        <w:rPr>
          <w:rFonts w:ascii="微软雅黑" w:hAnsi="微软雅黑" w:eastAsia="微软雅黑" w:cs="宋体"/>
          <w:bCs/>
          <w:color w:val="000000"/>
          <w:sz w:val="24"/>
          <w:szCs w:val="24"/>
          <w:highlight w:val="none"/>
        </w:rPr>
      </w:pPr>
      <w:r>
        <w:rPr>
          <w:rFonts w:hint="eastAsia" w:ascii="微软雅黑" w:hAnsi="微软雅黑" w:eastAsia="微软雅黑" w:cs="宋体"/>
          <w:bCs/>
          <w:color w:val="000000"/>
          <w:sz w:val="24"/>
          <w:szCs w:val="24"/>
          <w:highlight w:val="none"/>
        </w:rPr>
        <w:t>会计科目体系</w:t>
      </w:r>
    </w:p>
    <w:p>
      <w:pPr>
        <w:ind w:firstLine="420"/>
        <w:rPr>
          <w:rFonts w:ascii="微软雅黑" w:hAnsi="微软雅黑" w:eastAsia="微软雅黑"/>
          <w:sz w:val="24"/>
          <w:szCs w:val="24"/>
          <w:highlight w:val="none"/>
        </w:rPr>
      </w:pPr>
      <w:r>
        <w:rPr>
          <w:rFonts w:hint="eastAsia" w:ascii="微软雅黑" w:hAnsi="微软雅黑" w:eastAsia="微软雅黑"/>
          <w:sz w:val="24"/>
          <w:szCs w:val="24"/>
          <w:highlight w:val="none"/>
        </w:rPr>
        <w:t>定义科目体系名称，科目编码规则及科目体系所属类别等信息。</w:t>
      </w:r>
    </w:p>
    <w:p>
      <w:pPr>
        <w:numPr>
          <w:ilvl w:val="0"/>
          <w:numId w:val="10"/>
        </w:numPr>
        <w:tabs>
          <w:tab w:val="left" w:pos="851"/>
        </w:tabs>
        <w:ind w:left="851"/>
        <w:jc w:val="left"/>
        <w:rPr>
          <w:rFonts w:ascii="微软雅黑" w:hAnsi="微软雅黑" w:eastAsia="微软雅黑" w:cs="宋体"/>
          <w:bCs/>
          <w:color w:val="000000"/>
          <w:sz w:val="24"/>
          <w:szCs w:val="24"/>
          <w:highlight w:val="none"/>
        </w:rPr>
      </w:pPr>
      <w:r>
        <w:rPr>
          <w:rFonts w:hint="eastAsia" w:ascii="微软雅黑" w:hAnsi="微软雅黑" w:eastAsia="微软雅黑" w:cs="宋体"/>
          <w:bCs/>
          <w:color w:val="000000"/>
          <w:sz w:val="24"/>
          <w:szCs w:val="24"/>
          <w:highlight w:val="none"/>
        </w:rPr>
        <w:t>用户管理</w:t>
      </w:r>
    </w:p>
    <w:p>
      <w:pPr>
        <w:ind w:firstLine="420"/>
        <w:rPr>
          <w:rFonts w:ascii="微软雅黑" w:hAnsi="微软雅黑" w:eastAsia="微软雅黑"/>
          <w:sz w:val="24"/>
          <w:szCs w:val="24"/>
          <w:highlight w:val="none"/>
        </w:rPr>
      </w:pPr>
      <w:r>
        <w:rPr>
          <w:rFonts w:hint="eastAsia" w:ascii="微软雅黑" w:hAnsi="微软雅黑" w:eastAsia="微软雅黑"/>
          <w:sz w:val="24"/>
          <w:szCs w:val="24"/>
          <w:highlight w:val="none"/>
        </w:rPr>
        <w:t>定义系统操作软件的用户，同时可建立角色。</w:t>
      </w:r>
    </w:p>
    <w:p>
      <w:pPr>
        <w:numPr>
          <w:ilvl w:val="0"/>
          <w:numId w:val="10"/>
        </w:numPr>
        <w:tabs>
          <w:tab w:val="left" w:pos="851"/>
        </w:tabs>
        <w:ind w:left="851"/>
        <w:jc w:val="left"/>
        <w:rPr>
          <w:rFonts w:ascii="微软雅黑" w:hAnsi="微软雅黑" w:eastAsia="微软雅黑" w:cs="宋体"/>
          <w:bCs/>
          <w:color w:val="000000"/>
          <w:sz w:val="24"/>
          <w:szCs w:val="24"/>
          <w:highlight w:val="none"/>
        </w:rPr>
      </w:pPr>
      <w:r>
        <w:rPr>
          <w:rFonts w:hint="eastAsia" w:ascii="微软雅黑" w:hAnsi="微软雅黑" w:eastAsia="微软雅黑" w:cs="宋体"/>
          <w:bCs/>
          <w:color w:val="000000"/>
          <w:sz w:val="24"/>
          <w:szCs w:val="24"/>
          <w:highlight w:val="none"/>
        </w:rPr>
        <w:t>权限管理</w:t>
      </w:r>
    </w:p>
    <w:p>
      <w:pPr>
        <w:ind w:firstLine="420"/>
        <w:rPr>
          <w:rFonts w:ascii="微软雅黑" w:hAnsi="微软雅黑" w:eastAsia="微软雅黑"/>
          <w:sz w:val="24"/>
          <w:szCs w:val="24"/>
          <w:highlight w:val="none"/>
        </w:rPr>
      </w:pPr>
      <w:r>
        <w:rPr>
          <w:rFonts w:hint="eastAsia" w:ascii="微软雅黑" w:hAnsi="微软雅黑" w:eastAsia="微软雅黑"/>
          <w:sz w:val="24"/>
          <w:szCs w:val="24"/>
          <w:highlight w:val="none"/>
        </w:rPr>
        <w:t>管理直属下级管理员的单位权限和模块权限，为直属角色赋予功能权限和数据权限，完成对角色中所有成员批量赋权，并提供权限的查询功能；</w:t>
      </w:r>
    </w:p>
    <w:p>
      <w:pPr>
        <w:numPr>
          <w:ilvl w:val="0"/>
          <w:numId w:val="10"/>
        </w:numPr>
        <w:tabs>
          <w:tab w:val="left" w:pos="851"/>
        </w:tabs>
        <w:ind w:left="851"/>
        <w:jc w:val="left"/>
        <w:rPr>
          <w:rFonts w:ascii="微软雅黑" w:hAnsi="微软雅黑" w:eastAsia="微软雅黑" w:cs="宋体"/>
          <w:bCs/>
          <w:color w:val="000000"/>
          <w:sz w:val="24"/>
          <w:szCs w:val="24"/>
          <w:highlight w:val="none"/>
        </w:rPr>
      </w:pPr>
      <w:r>
        <w:rPr>
          <w:rFonts w:hint="eastAsia" w:ascii="微软雅黑" w:hAnsi="微软雅黑" w:eastAsia="微软雅黑" w:cs="宋体"/>
          <w:bCs/>
          <w:color w:val="000000"/>
          <w:sz w:val="24"/>
          <w:szCs w:val="24"/>
          <w:highlight w:val="none"/>
        </w:rPr>
        <w:t>基础编码</w:t>
      </w:r>
    </w:p>
    <w:p>
      <w:pPr>
        <w:ind w:firstLine="420"/>
        <w:rPr>
          <w:rFonts w:ascii="微软雅黑" w:hAnsi="微软雅黑" w:eastAsia="微软雅黑"/>
          <w:sz w:val="24"/>
          <w:szCs w:val="24"/>
          <w:highlight w:val="none"/>
        </w:rPr>
      </w:pPr>
      <w:r>
        <w:rPr>
          <w:rFonts w:hint="eastAsia" w:ascii="微软雅黑" w:hAnsi="微软雅黑" w:eastAsia="微软雅黑"/>
          <w:sz w:val="24"/>
          <w:szCs w:val="24"/>
          <w:highlight w:val="none"/>
        </w:rPr>
        <w:t>添加系统业务所涉及到的币种信息，人员的学历信息，职称信息，病人类别，职工类别，资金来源，地区编码，预算科目，计量单位及项目信息。</w:t>
      </w:r>
    </w:p>
    <w:p>
      <w:pPr>
        <w:numPr>
          <w:ilvl w:val="0"/>
          <w:numId w:val="10"/>
        </w:numPr>
        <w:tabs>
          <w:tab w:val="left" w:pos="851"/>
        </w:tabs>
        <w:ind w:left="851"/>
        <w:jc w:val="left"/>
        <w:rPr>
          <w:rFonts w:ascii="微软雅黑" w:hAnsi="微软雅黑" w:eastAsia="微软雅黑" w:cs="宋体"/>
          <w:bCs/>
          <w:color w:val="000000"/>
          <w:sz w:val="24"/>
          <w:szCs w:val="24"/>
          <w:highlight w:val="none"/>
        </w:rPr>
      </w:pPr>
      <w:r>
        <w:rPr>
          <w:rFonts w:hint="eastAsia" w:ascii="微软雅黑" w:hAnsi="微软雅黑" w:eastAsia="微软雅黑" w:cs="宋体"/>
          <w:bCs/>
          <w:color w:val="000000"/>
          <w:sz w:val="24"/>
          <w:szCs w:val="24"/>
          <w:highlight w:val="none"/>
        </w:rPr>
        <w:t>系统参数</w:t>
      </w:r>
    </w:p>
    <w:p>
      <w:pPr>
        <w:ind w:firstLine="420"/>
        <w:rPr>
          <w:rFonts w:ascii="微软雅黑" w:hAnsi="微软雅黑" w:eastAsia="微软雅黑"/>
          <w:sz w:val="24"/>
          <w:szCs w:val="24"/>
          <w:highlight w:val="none"/>
        </w:rPr>
      </w:pPr>
      <w:r>
        <w:rPr>
          <w:rFonts w:hint="eastAsia" w:ascii="微软雅黑" w:hAnsi="微软雅黑" w:eastAsia="微软雅黑"/>
          <w:sz w:val="24"/>
          <w:szCs w:val="24"/>
          <w:highlight w:val="none"/>
        </w:rPr>
        <w:t>使用系统初期需要做的基础设置，包含：单位编码规则、物资类别编码规则、固定资产类别编码规则、药品类别编码规则、预算科目编码规则、无形资产类别编码规则。</w:t>
      </w:r>
    </w:p>
    <w:p>
      <w:pPr>
        <w:numPr>
          <w:ilvl w:val="0"/>
          <w:numId w:val="10"/>
        </w:numPr>
        <w:tabs>
          <w:tab w:val="left" w:pos="851"/>
        </w:tabs>
        <w:ind w:left="851"/>
        <w:jc w:val="left"/>
        <w:rPr>
          <w:rFonts w:ascii="微软雅黑" w:hAnsi="微软雅黑" w:eastAsia="微软雅黑" w:cs="宋体"/>
          <w:bCs/>
          <w:color w:val="000000"/>
          <w:sz w:val="24"/>
          <w:szCs w:val="24"/>
          <w:highlight w:val="none"/>
        </w:rPr>
      </w:pPr>
      <w:r>
        <w:rPr>
          <w:rFonts w:hint="eastAsia" w:ascii="微软雅黑" w:hAnsi="微软雅黑" w:eastAsia="微软雅黑" w:cs="宋体"/>
          <w:bCs/>
          <w:color w:val="000000"/>
          <w:sz w:val="24"/>
          <w:szCs w:val="24"/>
          <w:highlight w:val="none"/>
        </w:rPr>
        <w:t>日志管理</w:t>
      </w:r>
    </w:p>
    <w:p>
      <w:pPr>
        <w:ind w:firstLine="420"/>
        <w:rPr>
          <w:rFonts w:ascii="微软雅黑" w:hAnsi="微软雅黑" w:eastAsia="微软雅黑"/>
          <w:sz w:val="24"/>
          <w:szCs w:val="24"/>
          <w:highlight w:val="none"/>
        </w:rPr>
      </w:pPr>
      <w:r>
        <w:rPr>
          <w:rFonts w:hint="eastAsia" w:ascii="微软雅黑" w:hAnsi="微软雅黑" w:eastAsia="微软雅黑"/>
          <w:sz w:val="24"/>
          <w:szCs w:val="24"/>
          <w:highlight w:val="none"/>
        </w:rPr>
        <w:t>查询和维护所有用户登录系统后的历史浏览记录信息。</w:t>
      </w:r>
    </w:p>
    <w:p>
      <w:pPr>
        <w:numPr>
          <w:ilvl w:val="0"/>
          <w:numId w:val="10"/>
        </w:numPr>
        <w:tabs>
          <w:tab w:val="left" w:pos="851"/>
        </w:tabs>
        <w:ind w:left="851"/>
        <w:jc w:val="left"/>
        <w:rPr>
          <w:rFonts w:ascii="微软雅黑" w:hAnsi="微软雅黑" w:eastAsia="微软雅黑" w:cs="宋体"/>
          <w:bCs/>
          <w:color w:val="000000"/>
          <w:sz w:val="24"/>
          <w:szCs w:val="24"/>
          <w:highlight w:val="none"/>
        </w:rPr>
      </w:pPr>
      <w:r>
        <w:rPr>
          <w:rFonts w:hint="eastAsia" w:ascii="微软雅黑" w:hAnsi="微软雅黑" w:eastAsia="微软雅黑" w:cs="宋体"/>
          <w:bCs/>
          <w:color w:val="000000"/>
          <w:sz w:val="24"/>
          <w:szCs w:val="24"/>
          <w:highlight w:val="none"/>
        </w:rPr>
        <w:t>数据管理</w:t>
      </w:r>
    </w:p>
    <w:p>
      <w:pPr>
        <w:ind w:firstLine="420"/>
        <w:rPr>
          <w:rFonts w:ascii="微软雅黑" w:hAnsi="微软雅黑" w:eastAsia="微软雅黑"/>
          <w:sz w:val="24"/>
          <w:szCs w:val="24"/>
          <w:highlight w:val="none"/>
        </w:rPr>
      </w:pPr>
      <w:r>
        <w:rPr>
          <w:rFonts w:hint="eastAsia" w:ascii="微软雅黑" w:hAnsi="微软雅黑" w:eastAsia="微软雅黑"/>
          <w:sz w:val="24"/>
          <w:szCs w:val="24"/>
          <w:highlight w:val="none"/>
        </w:rPr>
        <w:t>按照单位、帐套、模块、年度分别备份和还原数据。</w:t>
      </w:r>
    </w:p>
    <w:p>
      <w:pPr>
        <w:numPr>
          <w:ilvl w:val="0"/>
          <w:numId w:val="10"/>
        </w:numPr>
        <w:tabs>
          <w:tab w:val="left" w:pos="851"/>
        </w:tabs>
        <w:ind w:left="851"/>
        <w:jc w:val="left"/>
        <w:rPr>
          <w:rFonts w:ascii="微软雅黑" w:hAnsi="微软雅黑" w:eastAsia="微软雅黑" w:cs="宋体"/>
          <w:bCs/>
          <w:color w:val="000000"/>
          <w:sz w:val="24"/>
          <w:szCs w:val="24"/>
          <w:highlight w:val="none"/>
        </w:rPr>
      </w:pPr>
      <w:r>
        <w:rPr>
          <w:rFonts w:hint="eastAsia" w:ascii="微软雅黑" w:hAnsi="微软雅黑" w:eastAsia="微软雅黑" w:cs="宋体"/>
          <w:bCs/>
          <w:color w:val="000000"/>
          <w:sz w:val="24"/>
          <w:szCs w:val="24"/>
          <w:highlight w:val="none"/>
        </w:rPr>
        <w:t>程序维护</w:t>
      </w:r>
    </w:p>
    <w:p>
      <w:pPr>
        <w:ind w:firstLine="420"/>
        <w:rPr>
          <w:rFonts w:ascii="微软雅黑" w:hAnsi="微软雅黑" w:eastAsia="微软雅黑"/>
          <w:sz w:val="24"/>
          <w:szCs w:val="24"/>
          <w:highlight w:val="none"/>
        </w:rPr>
      </w:pPr>
      <w:r>
        <w:rPr>
          <w:rFonts w:hint="eastAsia" w:ascii="微软雅黑" w:hAnsi="微软雅黑" w:eastAsia="微软雅黑"/>
          <w:sz w:val="24"/>
          <w:szCs w:val="24"/>
          <w:highlight w:val="none"/>
        </w:rPr>
        <w:t>重新载入业务逻辑库。</w:t>
      </w:r>
    </w:p>
    <w:p>
      <w:pPr>
        <w:numPr>
          <w:ilvl w:val="0"/>
          <w:numId w:val="10"/>
        </w:numPr>
        <w:tabs>
          <w:tab w:val="left" w:pos="851"/>
        </w:tabs>
        <w:ind w:left="851"/>
        <w:jc w:val="left"/>
        <w:rPr>
          <w:rFonts w:ascii="微软雅黑" w:hAnsi="微软雅黑" w:eastAsia="微软雅黑" w:cs="宋体"/>
          <w:bCs/>
          <w:color w:val="000000"/>
          <w:sz w:val="24"/>
          <w:szCs w:val="24"/>
          <w:highlight w:val="none"/>
        </w:rPr>
      </w:pPr>
      <w:r>
        <w:rPr>
          <w:rFonts w:hint="eastAsia" w:ascii="微软雅黑" w:hAnsi="微软雅黑" w:eastAsia="微软雅黑" w:cs="宋体"/>
          <w:bCs/>
          <w:color w:val="000000"/>
          <w:sz w:val="24"/>
          <w:szCs w:val="24"/>
          <w:highlight w:val="none"/>
        </w:rPr>
        <w:t>单位信息</w:t>
      </w:r>
    </w:p>
    <w:p>
      <w:pPr>
        <w:ind w:firstLine="420"/>
        <w:rPr>
          <w:rFonts w:ascii="微软雅黑" w:hAnsi="微软雅黑" w:eastAsia="微软雅黑"/>
          <w:sz w:val="24"/>
          <w:szCs w:val="24"/>
          <w:highlight w:val="none"/>
        </w:rPr>
      </w:pPr>
      <w:r>
        <w:rPr>
          <w:rFonts w:hint="eastAsia" w:ascii="微软雅黑" w:hAnsi="微软雅黑" w:eastAsia="微软雅黑"/>
          <w:sz w:val="24"/>
          <w:szCs w:val="24"/>
          <w:highlight w:val="none"/>
        </w:rPr>
        <w:t>使用系统初期需要做的与单位相关信息的基础设置，包含：部门编码规则、供应商类别规则、职位编码规则、库房编码的设定。</w:t>
      </w:r>
    </w:p>
    <w:p>
      <w:pPr>
        <w:numPr>
          <w:ilvl w:val="0"/>
          <w:numId w:val="10"/>
        </w:numPr>
        <w:tabs>
          <w:tab w:val="left" w:pos="851"/>
        </w:tabs>
        <w:ind w:left="851"/>
        <w:jc w:val="left"/>
        <w:rPr>
          <w:rFonts w:ascii="微软雅黑" w:hAnsi="微软雅黑" w:eastAsia="微软雅黑" w:cs="宋体"/>
          <w:bCs/>
          <w:color w:val="000000"/>
          <w:sz w:val="24"/>
          <w:szCs w:val="24"/>
          <w:highlight w:val="none"/>
        </w:rPr>
      </w:pPr>
      <w:r>
        <w:rPr>
          <w:rFonts w:hint="eastAsia" w:ascii="微软雅黑" w:hAnsi="微软雅黑" w:eastAsia="微软雅黑" w:cs="宋体"/>
          <w:bCs/>
          <w:color w:val="000000"/>
          <w:sz w:val="24"/>
          <w:szCs w:val="24"/>
          <w:highlight w:val="none"/>
        </w:rPr>
        <w:t>付款条件</w:t>
      </w:r>
    </w:p>
    <w:p>
      <w:pPr>
        <w:ind w:firstLine="420"/>
        <w:rPr>
          <w:rFonts w:ascii="微软雅黑" w:hAnsi="微软雅黑" w:eastAsia="微软雅黑"/>
          <w:sz w:val="24"/>
          <w:szCs w:val="24"/>
          <w:highlight w:val="none"/>
        </w:rPr>
      </w:pPr>
      <w:r>
        <w:rPr>
          <w:rFonts w:hint="eastAsia" w:ascii="微软雅黑" w:hAnsi="微软雅黑" w:eastAsia="微软雅黑"/>
          <w:sz w:val="24"/>
          <w:szCs w:val="24"/>
          <w:highlight w:val="none"/>
        </w:rPr>
        <w:t>添加和维护付款条件信息。</w:t>
      </w:r>
    </w:p>
    <w:p>
      <w:pPr>
        <w:numPr>
          <w:ilvl w:val="0"/>
          <w:numId w:val="10"/>
        </w:numPr>
        <w:tabs>
          <w:tab w:val="left" w:pos="851"/>
        </w:tabs>
        <w:ind w:left="851"/>
        <w:jc w:val="left"/>
        <w:rPr>
          <w:rFonts w:ascii="微软雅黑" w:hAnsi="微软雅黑" w:eastAsia="微软雅黑" w:cs="宋体"/>
          <w:bCs/>
          <w:color w:val="000000"/>
          <w:sz w:val="24"/>
          <w:szCs w:val="24"/>
          <w:highlight w:val="none"/>
        </w:rPr>
      </w:pPr>
      <w:r>
        <w:rPr>
          <w:rFonts w:hint="eastAsia" w:ascii="微软雅黑" w:hAnsi="微软雅黑" w:eastAsia="微软雅黑" w:cs="宋体"/>
          <w:bCs/>
          <w:color w:val="000000"/>
          <w:sz w:val="24"/>
          <w:szCs w:val="24"/>
          <w:highlight w:val="none"/>
        </w:rPr>
        <w:t>部门信息</w:t>
      </w:r>
    </w:p>
    <w:p>
      <w:pPr>
        <w:ind w:firstLine="420"/>
        <w:rPr>
          <w:rFonts w:ascii="微软雅黑" w:hAnsi="微软雅黑" w:eastAsia="微软雅黑"/>
          <w:sz w:val="24"/>
          <w:szCs w:val="24"/>
          <w:highlight w:val="none"/>
        </w:rPr>
      </w:pPr>
      <w:r>
        <w:rPr>
          <w:rFonts w:hint="eastAsia" w:ascii="微软雅黑" w:hAnsi="微软雅黑" w:eastAsia="微软雅黑"/>
          <w:sz w:val="24"/>
          <w:szCs w:val="24"/>
          <w:highlight w:val="none"/>
        </w:rPr>
        <w:t>添加和维护部门类别信息；可对单位各部门的编码、名称、性质等信息进行维护，建立部门档案。</w:t>
      </w:r>
    </w:p>
    <w:p>
      <w:pPr>
        <w:numPr>
          <w:ilvl w:val="0"/>
          <w:numId w:val="10"/>
        </w:numPr>
        <w:tabs>
          <w:tab w:val="left" w:pos="851"/>
        </w:tabs>
        <w:ind w:left="851"/>
        <w:jc w:val="left"/>
        <w:rPr>
          <w:rFonts w:ascii="微软雅黑" w:hAnsi="微软雅黑" w:eastAsia="微软雅黑" w:cs="宋体"/>
          <w:bCs/>
          <w:color w:val="000000"/>
          <w:sz w:val="24"/>
          <w:szCs w:val="24"/>
          <w:highlight w:val="none"/>
        </w:rPr>
      </w:pPr>
      <w:r>
        <w:rPr>
          <w:rFonts w:hint="eastAsia" w:ascii="微软雅黑" w:hAnsi="微软雅黑" w:eastAsia="微软雅黑" w:cs="宋体"/>
          <w:bCs/>
          <w:color w:val="000000"/>
          <w:sz w:val="24"/>
          <w:szCs w:val="24"/>
          <w:highlight w:val="none"/>
        </w:rPr>
        <w:t>供应商信息</w:t>
      </w:r>
    </w:p>
    <w:p>
      <w:pPr>
        <w:ind w:firstLine="420"/>
        <w:rPr>
          <w:rFonts w:ascii="微软雅黑" w:hAnsi="微软雅黑" w:eastAsia="微软雅黑"/>
          <w:sz w:val="24"/>
          <w:szCs w:val="24"/>
          <w:highlight w:val="none"/>
        </w:rPr>
      </w:pPr>
      <w:r>
        <w:rPr>
          <w:rFonts w:hint="eastAsia" w:ascii="微软雅黑" w:hAnsi="微软雅黑" w:eastAsia="微软雅黑"/>
          <w:sz w:val="24"/>
          <w:szCs w:val="24"/>
          <w:highlight w:val="none"/>
        </w:rPr>
        <w:t>添加和维护供应商类别信息，用于将供应商进行分类；可添加和维护供应商的基本信息。</w:t>
      </w:r>
    </w:p>
    <w:p>
      <w:pPr>
        <w:numPr>
          <w:ilvl w:val="0"/>
          <w:numId w:val="10"/>
        </w:numPr>
        <w:tabs>
          <w:tab w:val="left" w:pos="851"/>
        </w:tabs>
        <w:ind w:left="851"/>
        <w:jc w:val="left"/>
        <w:rPr>
          <w:rFonts w:ascii="微软雅黑" w:hAnsi="微软雅黑" w:eastAsia="微软雅黑" w:cs="宋体"/>
          <w:bCs/>
          <w:color w:val="000000"/>
          <w:sz w:val="24"/>
          <w:szCs w:val="24"/>
          <w:highlight w:val="none"/>
        </w:rPr>
      </w:pPr>
      <w:r>
        <w:rPr>
          <w:rFonts w:hint="eastAsia" w:ascii="微软雅黑" w:hAnsi="微软雅黑" w:eastAsia="微软雅黑" w:cs="宋体"/>
          <w:bCs/>
          <w:color w:val="000000"/>
          <w:sz w:val="24"/>
          <w:szCs w:val="24"/>
          <w:highlight w:val="none"/>
        </w:rPr>
        <w:t>生产厂商信息</w:t>
      </w:r>
    </w:p>
    <w:p>
      <w:pPr>
        <w:ind w:firstLine="420"/>
        <w:rPr>
          <w:rFonts w:ascii="微软雅黑" w:hAnsi="微软雅黑" w:eastAsia="微软雅黑"/>
          <w:sz w:val="24"/>
          <w:szCs w:val="24"/>
          <w:highlight w:val="none"/>
        </w:rPr>
      </w:pPr>
      <w:r>
        <w:rPr>
          <w:rFonts w:hint="eastAsia" w:ascii="微软雅黑" w:hAnsi="微软雅黑" w:eastAsia="微软雅黑"/>
          <w:sz w:val="24"/>
          <w:szCs w:val="24"/>
          <w:highlight w:val="none"/>
        </w:rPr>
        <w:t>针对卫生材料，后勤物资等厂商信息添加和维护。</w:t>
      </w:r>
    </w:p>
    <w:p>
      <w:pPr>
        <w:numPr>
          <w:ilvl w:val="0"/>
          <w:numId w:val="10"/>
        </w:numPr>
        <w:tabs>
          <w:tab w:val="left" w:pos="851"/>
        </w:tabs>
        <w:ind w:left="851"/>
        <w:jc w:val="left"/>
        <w:rPr>
          <w:rFonts w:ascii="微软雅黑" w:hAnsi="微软雅黑" w:eastAsia="微软雅黑" w:cs="宋体"/>
          <w:bCs/>
          <w:color w:val="000000"/>
          <w:sz w:val="24"/>
          <w:szCs w:val="24"/>
          <w:highlight w:val="none"/>
        </w:rPr>
      </w:pPr>
      <w:r>
        <w:rPr>
          <w:rFonts w:hint="eastAsia" w:ascii="微软雅黑" w:hAnsi="微软雅黑" w:eastAsia="微软雅黑" w:cs="宋体"/>
          <w:bCs/>
          <w:color w:val="000000"/>
          <w:sz w:val="24"/>
          <w:szCs w:val="24"/>
          <w:highlight w:val="none"/>
        </w:rPr>
        <w:t>库房信息</w:t>
      </w:r>
    </w:p>
    <w:p>
      <w:pPr>
        <w:ind w:firstLine="420"/>
        <w:rPr>
          <w:rFonts w:ascii="微软雅黑" w:hAnsi="微软雅黑" w:eastAsia="微软雅黑"/>
          <w:sz w:val="24"/>
          <w:szCs w:val="24"/>
          <w:highlight w:val="none"/>
        </w:rPr>
      </w:pPr>
      <w:r>
        <w:rPr>
          <w:rFonts w:hint="eastAsia" w:ascii="微软雅黑" w:hAnsi="微软雅黑" w:eastAsia="微软雅黑"/>
          <w:sz w:val="24"/>
          <w:szCs w:val="24"/>
          <w:highlight w:val="none"/>
        </w:rPr>
        <w:t>针对库房信息，货位信息进行添加和维护。</w:t>
      </w:r>
    </w:p>
    <w:p>
      <w:pPr>
        <w:numPr>
          <w:ilvl w:val="0"/>
          <w:numId w:val="10"/>
        </w:numPr>
        <w:tabs>
          <w:tab w:val="left" w:pos="851"/>
        </w:tabs>
        <w:ind w:left="851"/>
        <w:jc w:val="left"/>
        <w:rPr>
          <w:rFonts w:ascii="微软雅黑" w:hAnsi="微软雅黑" w:eastAsia="微软雅黑" w:cs="宋体"/>
          <w:bCs/>
          <w:color w:val="000000"/>
          <w:sz w:val="24"/>
          <w:szCs w:val="24"/>
          <w:highlight w:val="none"/>
        </w:rPr>
      </w:pPr>
      <w:r>
        <w:rPr>
          <w:rFonts w:hint="eastAsia" w:ascii="微软雅黑" w:hAnsi="微软雅黑" w:eastAsia="微软雅黑" w:cs="宋体"/>
          <w:bCs/>
          <w:color w:val="000000"/>
          <w:sz w:val="24"/>
          <w:szCs w:val="24"/>
          <w:highlight w:val="none"/>
        </w:rPr>
        <w:t>职工信息</w:t>
      </w:r>
    </w:p>
    <w:p>
      <w:pPr>
        <w:ind w:firstLine="420"/>
        <w:rPr>
          <w:rFonts w:ascii="微软雅黑" w:hAnsi="微软雅黑" w:eastAsia="微软雅黑"/>
          <w:sz w:val="24"/>
          <w:szCs w:val="24"/>
          <w:highlight w:val="none"/>
        </w:rPr>
      </w:pPr>
      <w:r>
        <w:rPr>
          <w:rFonts w:hint="eastAsia" w:ascii="微软雅黑" w:hAnsi="微软雅黑" w:eastAsia="微软雅黑"/>
          <w:sz w:val="24"/>
          <w:szCs w:val="24"/>
          <w:highlight w:val="none"/>
        </w:rPr>
        <w:t>维护本院所有职工的基本档案。</w:t>
      </w:r>
    </w:p>
    <w:p>
      <w:pPr>
        <w:rPr>
          <w:rFonts w:ascii="微软雅黑" w:hAnsi="微软雅黑" w:eastAsia="微软雅黑"/>
          <w:highlight w:val="none"/>
        </w:rPr>
      </w:pPr>
    </w:p>
    <w:p>
      <w:pPr>
        <w:pStyle w:val="4"/>
        <w:numPr>
          <w:ilvl w:val="2"/>
          <w:numId w:val="9"/>
        </w:numPr>
        <w:spacing w:before="0" w:after="0" w:line="240" w:lineRule="auto"/>
        <w:rPr>
          <w:rFonts w:ascii="微软雅黑" w:hAnsi="微软雅黑" w:eastAsia="微软雅黑" w:cs="宋体"/>
          <w:color w:val="000000"/>
          <w:sz w:val="28"/>
          <w:szCs w:val="28"/>
          <w:highlight w:val="none"/>
        </w:rPr>
      </w:pPr>
      <w:bookmarkStart w:id="21" w:name="_Toc735"/>
      <w:r>
        <w:rPr>
          <w:rFonts w:hint="eastAsia" w:ascii="微软雅黑" w:hAnsi="微软雅黑" w:eastAsia="微软雅黑" w:cs="宋体"/>
          <w:color w:val="000000"/>
          <w:sz w:val="28"/>
          <w:szCs w:val="28"/>
          <w:highlight w:val="none"/>
        </w:rPr>
        <w:t>医院会计核算及财务管理系统</w:t>
      </w:r>
      <w:bookmarkEnd w:id="15"/>
      <w:bookmarkEnd w:id="16"/>
      <w:bookmarkEnd w:id="17"/>
      <w:bookmarkEnd w:id="18"/>
      <w:bookmarkEnd w:id="19"/>
      <w:bookmarkEnd w:id="20"/>
      <w:bookmarkEnd w:id="21"/>
    </w:p>
    <w:p>
      <w:pPr>
        <w:ind w:firstLine="480"/>
        <w:jc w:val="left"/>
        <w:rPr>
          <w:rFonts w:ascii="微软雅黑" w:hAnsi="微软雅黑" w:eastAsia="微软雅黑" w:cs="Times New Roman"/>
          <w:color w:val="000000"/>
          <w:sz w:val="24"/>
          <w:szCs w:val="24"/>
          <w:highlight w:val="none"/>
        </w:rPr>
      </w:pPr>
      <w:bookmarkStart w:id="22" w:name="OLE_LINK3"/>
      <w:bookmarkStart w:id="23" w:name="OLE_LINK2"/>
      <w:r>
        <w:rPr>
          <w:rFonts w:hint="eastAsia" w:ascii="微软雅黑" w:hAnsi="微软雅黑" w:eastAsia="微软雅黑" w:cs="宋体"/>
          <w:color w:val="000000"/>
          <w:sz w:val="24"/>
          <w:szCs w:val="24"/>
          <w:highlight w:val="none"/>
        </w:rPr>
        <w:t>财务管理主要包括账务处理、现金银行管理、往来账管理、薪酬发放、财务分析、报表管理、领导查询等功能。</w:t>
      </w:r>
    </w:p>
    <w:p>
      <w:pPr>
        <w:ind w:firstLine="520"/>
        <w:jc w:val="left"/>
        <w:rPr>
          <w:rFonts w:ascii="微软雅黑" w:hAnsi="微软雅黑" w:eastAsia="微软雅黑" w:cs="Times New Roman"/>
          <w:bCs/>
          <w:color w:val="000000"/>
          <w:sz w:val="24"/>
          <w:szCs w:val="24"/>
          <w:highlight w:val="none"/>
        </w:rPr>
      </w:pPr>
      <w:r>
        <w:rPr>
          <w:rFonts w:ascii="微软雅黑" w:hAnsi="微软雅黑" w:eastAsia="微软雅黑" w:cs="宋体"/>
          <w:bCs/>
          <w:color w:val="000000"/>
          <w:sz w:val="24"/>
          <w:szCs w:val="24"/>
          <w:highlight w:val="none"/>
        </w:rPr>
        <w:t>1.</w:t>
      </w:r>
      <w:r>
        <w:rPr>
          <w:rFonts w:hint="eastAsia" w:ascii="微软雅黑" w:hAnsi="微软雅黑" w:eastAsia="微软雅黑" w:cs="宋体"/>
          <w:bCs/>
          <w:color w:val="000000"/>
          <w:sz w:val="24"/>
          <w:szCs w:val="24"/>
          <w:highlight w:val="none"/>
        </w:rPr>
        <w:t>制度符合性</w:t>
      </w:r>
    </w:p>
    <w:p>
      <w:pPr>
        <w:ind w:firstLine="480"/>
        <w:jc w:val="left"/>
        <w:rPr>
          <w:rFonts w:ascii="微软雅黑" w:hAnsi="微软雅黑" w:eastAsia="微软雅黑" w:cs="Times New Roman"/>
          <w:color w:val="000000"/>
          <w:sz w:val="24"/>
          <w:szCs w:val="24"/>
          <w:highlight w:val="none"/>
        </w:rPr>
      </w:pPr>
      <w:r>
        <w:rPr>
          <w:rFonts w:hint="eastAsia" w:ascii="微软雅黑" w:hAnsi="微软雅黑" w:eastAsia="微软雅黑" w:cs="宋体"/>
          <w:color w:val="000000"/>
          <w:sz w:val="24"/>
          <w:szCs w:val="24"/>
          <w:highlight w:val="none"/>
        </w:rPr>
        <w:t>应完全符合财政部</w:t>
      </w:r>
      <w:r>
        <w:rPr>
          <w:rFonts w:ascii="微软雅黑" w:hAnsi="微软雅黑" w:eastAsia="微软雅黑" w:cs="宋体"/>
          <w:color w:val="000000"/>
          <w:sz w:val="24"/>
          <w:szCs w:val="24"/>
          <w:highlight w:val="none"/>
        </w:rPr>
        <w:t>《政府会计制度——行政事业单位会计科目和报表》</w:t>
      </w:r>
      <w:r>
        <w:rPr>
          <w:rFonts w:hint="eastAsia" w:ascii="微软雅黑" w:hAnsi="微软雅黑" w:eastAsia="微软雅黑" w:cs="宋体"/>
          <w:color w:val="000000"/>
          <w:sz w:val="24"/>
          <w:szCs w:val="24"/>
          <w:highlight w:val="none"/>
        </w:rPr>
        <w:t>（财会</w:t>
      </w:r>
      <w:r>
        <w:rPr>
          <w:rFonts w:ascii="微软雅黑" w:hAnsi="微软雅黑" w:eastAsia="微软雅黑" w:cs="宋体"/>
          <w:color w:val="000000"/>
          <w:sz w:val="24"/>
          <w:szCs w:val="24"/>
          <w:highlight w:val="none"/>
        </w:rPr>
        <w:t>[2017]25</w:t>
      </w:r>
      <w:r>
        <w:rPr>
          <w:rFonts w:hint="eastAsia" w:ascii="微软雅黑" w:hAnsi="微软雅黑" w:eastAsia="微软雅黑" w:cs="宋体"/>
          <w:color w:val="000000"/>
          <w:sz w:val="24"/>
          <w:szCs w:val="24"/>
          <w:highlight w:val="none"/>
        </w:rPr>
        <w:t>号）的科目、核算原则与报表要求。并应重点实现以下制度性要求：</w:t>
      </w:r>
    </w:p>
    <w:p>
      <w:pPr>
        <w:widowControl/>
        <w:numPr>
          <w:ilvl w:val="0"/>
          <w:numId w:val="11"/>
        </w:numPr>
        <w:ind w:left="0" w:firstLine="480"/>
        <w:jc w:val="left"/>
        <w:rPr>
          <w:rFonts w:ascii="微软雅黑" w:hAnsi="微软雅黑" w:eastAsia="微软雅黑" w:cs="Times New Roman"/>
          <w:color w:val="000000"/>
          <w:sz w:val="24"/>
          <w:szCs w:val="24"/>
          <w:highlight w:val="none"/>
        </w:rPr>
      </w:pPr>
      <w:r>
        <w:rPr>
          <w:rFonts w:hint="eastAsia" w:ascii="微软雅黑" w:hAnsi="微软雅黑" w:eastAsia="微软雅黑" w:cs="Times New Roman"/>
          <w:color w:val="000000"/>
          <w:sz w:val="24"/>
          <w:szCs w:val="24"/>
          <w:highlight w:val="none"/>
        </w:rPr>
        <w:t>会计系统中须同时实现财务会计和预算会计双重功能</w:t>
      </w:r>
    </w:p>
    <w:p>
      <w:pPr>
        <w:widowControl/>
        <w:numPr>
          <w:ilvl w:val="0"/>
          <w:numId w:val="11"/>
        </w:numPr>
        <w:ind w:left="0" w:firstLine="480"/>
        <w:jc w:val="left"/>
        <w:rPr>
          <w:rFonts w:ascii="微软雅黑" w:hAnsi="微软雅黑" w:eastAsia="微软雅黑" w:cs="Times New Roman"/>
          <w:color w:val="000000"/>
          <w:sz w:val="24"/>
          <w:szCs w:val="24"/>
          <w:highlight w:val="none"/>
        </w:rPr>
      </w:pPr>
      <w:r>
        <w:rPr>
          <w:rFonts w:hint="eastAsia" w:ascii="微软雅黑" w:hAnsi="微软雅黑" w:eastAsia="微软雅黑" w:cs="Times New Roman"/>
          <w:color w:val="000000"/>
          <w:sz w:val="24"/>
          <w:szCs w:val="24"/>
          <w:highlight w:val="none"/>
        </w:rPr>
        <w:t>财务会计采用权责发生制，预算会计采用收付实现制</w:t>
      </w:r>
    </w:p>
    <w:p>
      <w:pPr>
        <w:widowControl/>
        <w:numPr>
          <w:ilvl w:val="0"/>
          <w:numId w:val="11"/>
        </w:numPr>
        <w:ind w:left="0" w:firstLine="480"/>
        <w:jc w:val="left"/>
        <w:rPr>
          <w:rFonts w:ascii="微软雅黑" w:hAnsi="微软雅黑" w:eastAsia="微软雅黑" w:cs="Times New Roman"/>
          <w:color w:val="000000"/>
          <w:sz w:val="24"/>
          <w:szCs w:val="24"/>
          <w:highlight w:val="none"/>
        </w:rPr>
      </w:pPr>
      <w:r>
        <w:rPr>
          <w:rFonts w:hint="eastAsia" w:ascii="微软雅黑" w:hAnsi="微软雅黑" w:eastAsia="微软雅黑" w:cs="Times New Roman"/>
          <w:color w:val="000000"/>
          <w:sz w:val="24"/>
          <w:szCs w:val="24"/>
          <w:highlight w:val="none"/>
        </w:rPr>
        <w:t>财务会计核算形成财务报告，预算会计核算形成决算报告</w:t>
      </w:r>
    </w:p>
    <w:p>
      <w:pPr>
        <w:widowControl/>
        <w:numPr>
          <w:ilvl w:val="0"/>
          <w:numId w:val="11"/>
        </w:numPr>
        <w:ind w:left="0" w:firstLine="480"/>
        <w:jc w:val="left"/>
        <w:rPr>
          <w:rFonts w:ascii="微软雅黑" w:hAnsi="微软雅黑" w:eastAsia="微软雅黑" w:cs="Times New Roman"/>
          <w:color w:val="000000"/>
          <w:sz w:val="24"/>
          <w:szCs w:val="24"/>
          <w:highlight w:val="none"/>
        </w:rPr>
      </w:pPr>
      <w:r>
        <w:rPr>
          <w:rFonts w:hint="eastAsia" w:ascii="微软雅黑" w:hAnsi="微软雅黑" w:eastAsia="微软雅黑" w:cs="Times New Roman"/>
          <w:color w:val="000000"/>
          <w:sz w:val="24"/>
          <w:szCs w:val="24"/>
          <w:highlight w:val="none"/>
        </w:rPr>
        <w:t>整合基建会计核算</w:t>
      </w:r>
    </w:p>
    <w:p>
      <w:pPr>
        <w:widowControl/>
        <w:numPr>
          <w:ilvl w:val="0"/>
          <w:numId w:val="11"/>
        </w:numPr>
        <w:ind w:left="0" w:firstLine="480"/>
        <w:jc w:val="left"/>
        <w:rPr>
          <w:rFonts w:ascii="微软雅黑" w:hAnsi="微软雅黑" w:eastAsia="微软雅黑" w:cs="Times New Roman"/>
          <w:color w:val="000000"/>
          <w:sz w:val="24"/>
          <w:szCs w:val="24"/>
          <w:highlight w:val="none"/>
        </w:rPr>
      </w:pPr>
      <w:r>
        <w:rPr>
          <w:rFonts w:hint="eastAsia" w:ascii="微软雅黑" w:hAnsi="微软雅黑" w:eastAsia="微软雅黑" w:cs="宋体"/>
          <w:color w:val="000000"/>
          <w:sz w:val="24"/>
          <w:szCs w:val="24"/>
          <w:highlight w:val="none"/>
        </w:rPr>
        <w:t>支持现金流量管理</w:t>
      </w:r>
    </w:p>
    <w:p>
      <w:pPr>
        <w:widowControl/>
        <w:numPr>
          <w:ilvl w:val="0"/>
          <w:numId w:val="11"/>
        </w:numPr>
        <w:ind w:left="0" w:firstLine="480"/>
        <w:jc w:val="left"/>
        <w:rPr>
          <w:rFonts w:ascii="微软雅黑" w:hAnsi="微软雅黑" w:eastAsia="微软雅黑" w:cs="Times New Roman"/>
          <w:color w:val="000000"/>
          <w:sz w:val="24"/>
          <w:szCs w:val="24"/>
          <w:highlight w:val="none"/>
        </w:rPr>
      </w:pPr>
      <w:r>
        <w:rPr>
          <w:rFonts w:hint="eastAsia" w:ascii="微软雅黑" w:hAnsi="微软雅黑" w:eastAsia="微软雅黑" w:cs="宋体"/>
          <w:color w:val="000000"/>
          <w:sz w:val="24"/>
          <w:szCs w:val="24"/>
          <w:highlight w:val="none"/>
        </w:rPr>
        <w:t>支持科研、教学项目核算</w:t>
      </w:r>
    </w:p>
    <w:p>
      <w:pPr>
        <w:widowControl/>
        <w:numPr>
          <w:ilvl w:val="0"/>
          <w:numId w:val="11"/>
        </w:numPr>
        <w:ind w:left="0" w:firstLine="480"/>
        <w:jc w:val="left"/>
        <w:rPr>
          <w:rFonts w:ascii="微软雅黑" w:hAnsi="微软雅黑" w:eastAsia="微软雅黑" w:cs="Times New Roman"/>
          <w:color w:val="000000"/>
          <w:sz w:val="24"/>
          <w:szCs w:val="24"/>
          <w:highlight w:val="none"/>
        </w:rPr>
      </w:pPr>
      <w:r>
        <w:rPr>
          <w:rFonts w:hint="eastAsia" w:ascii="微软雅黑" w:hAnsi="微软雅黑" w:eastAsia="微软雅黑" w:cs="宋体"/>
          <w:color w:val="000000"/>
          <w:sz w:val="24"/>
          <w:szCs w:val="24"/>
          <w:highlight w:val="none"/>
        </w:rPr>
        <w:t>支持医保结算差额的自动分摊</w:t>
      </w:r>
    </w:p>
    <w:p>
      <w:pPr>
        <w:widowControl/>
        <w:numPr>
          <w:ilvl w:val="0"/>
          <w:numId w:val="11"/>
        </w:numPr>
        <w:ind w:left="0" w:firstLine="480"/>
        <w:jc w:val="left"/>
        <w:rPr>
          <w:rFonts w:ascii="微软雅黑" w:hAnsi="微软雅黑" w:eastAsia="微软雅黑" w:cs="Times New Roman"/>
          <w:color w:val="000000"/>
          <w:sz w:val="24"/>
          <w:szCs w:val="24"/>
          <w:highlight w:val="none"/>
        </w:rPr>
      </w:pPr>
      <w:r>
        <w:rPr>
          <w:rFonts w:hint="eastAsia" w:ascii="微软雅黑" w:hAnsi="微软雅黑" w:eastAsia="微软雅黑" w:cs="宋体"/>
          <w:color w:val="000000"/>
          <w:sz w:val="24"/>
          <w:szCs w:val="24"/>
          <w:highlight w:val="none"/>
        </w:rPr>
        <w:t>支持医疗风险基金的自动提取</w:t>
      </w:r>
    </w:p>
    <w:p>
      <w:pPr>
        <w:widowControl/>
        <w:numPr>
          <w:ilvl w:val="0"/>
          <w:numId w:val="11"/>
        </w:numPr>
        <w:ind w:left="0" w:firstLine="480"/>
        <w:jc w:val="left"/>
        <w:rPr>
          <w:rFonts w:ascii="微软雅黑" w:hAnsi="微软雅黑" w:eastAsia="微软雅黑" w:cs="Times New Roman"/>
          <w:color w:val="000000"/>
          <w:sz w:val="24"/>
          <w:szCs w:val="24"/>
          <w:highlight w:val="none"/>
        </w:rPr>
      </w:pPr>
      <w:r>
        <w:rPr>
          <w:rFonts w:hint="eastAsia" w:ascii="微软雅黑" w:hAnsi="微软雅黑" w:eastAsia="微软雅黑" w:cs="宋体"/>
          <w:color w:val="000000"/>
          <w:sz w:val="24"/>
          <w:szCs w:val="24"/>
          <w:highlight w:val="none"/>
        </w:rPr>
        <w:t>支持新会计制度下的往来管理</w:t>
      </w:r>
    </w:p>
    <w:p>
      <w:pPr>
        <w:widowControl/>
        <w:numPr>
          <w:ilvl w:val="0"/>
          <w:numId w:val="11"/>
        </w:numPr>
        <w:ind w:left="0" w:firstLine="480"/>
        <w:jc w:val="left"/>
        <w:rPr>
          <w:rFonts w:ascii="微软雅黑" w:hAnsi="微软雅黑" w:eastAsia="微软雅黑" w:cs="Times New Roman"/>
          <w:color w:val="000000"/>
          <w:sz w:val="24"/>
          <w:szCs w:val="24"/>
          <w:highlight w:val="none"/>
        </w:rPr>
      </w:pPr>
      <w:r>
        <w:rPr>
          <w:rFonts w:hint="eastAsia" w:ascii="微软雅黑" w:hAnsi="微软雅黑" w:eastAsia="微软雅黑" w:cs="宋体"/>
          <w:color w:val="000000"/>
          <w:sz w:val="24"/>
          <w:szCs w:val="24"/>
          <w:highlight w:val="none"/>
        </w:rPr>
        <w:t>支持外币核算，提供外币与本位币双记账功能</w:t>
      </w:r>
    </w:p>
    <w:p>
      <w:pPr>
        <w:ind w:firstLine="520"/>
        <w:jc w:val="left"/>
        <w:rPr>
          <w:rFonts w:ascii="微软雅黑" w:hAnsi="微软雅黑" w:eastAsia="微软雅黑" w:cs="Times New Roman"/>
          <w:bCs/>
          <w:color w:val="000000"/>
          <w:sz w:val="24"/>
          <w:szCs w:val="24"/>
          <w:highlight w:val="none"/>
        </w:rPr>
      </w:pPr>
      <w:r>
        <w:rPr>
          <w:rFonts w:ascii="微软雅黑" w:hAnsi="微软雅黑" w:eastAsia="微软雅黑" w:cs="宋体"/>
          <w:bCs/>
          <w:color w:val="000000"/>
          <w:sz w:val="24"/>
          <w:szCs w:val="24"/>
          <w:highlight w:val="none"/>
        </w:rPr>
        <w:t>2.</w:t>
      </w:r>
      <w:r>
        <w:rPr>
          <w:rFonts w:hint="eastAsia" w:ascii="微软雅黑" w:hAnsi="微软雅黑" w:eastAsia="微软雅黑" w:cs="宋体"/>
          <w:bCs/>
          <w:color w:val="000000"/>
          <w:sz w:val="24"/>
          <w:szCs w:val="24"/>
          <w:highlight w:val="none"/>
        </w:rPr>
        <w:t>账务处理</w:t>
      </w:r>
    </w:p>
    <w:p>
      <w:pPr>
        <w:ind w:firstLine="480"/>
        <w:jc w:val="left"/>
        <w:rPr>
          <w:rFonts w:ascii="微软雅黑" w:hAnsi="微软雅黑" w:eastAsia="微软雅黑" w:cs="Times New Roman"/>
          <w:color w:val="000000"/>
          <w:sz w:val="24"/>
          <w:szCs w:val="24"/>
          <w:highlight w:val="none"/>
        </w:rPr>
      </w:pPr>
      <w:r>
        <w:rPr>
          <w:rFonts w:hint="eastAsia" w:ascii="微软雅黑" w:hAnsi="微软雅黑" w:eastAsia="微软雅黑" w:cs="宋体"/>
          <w:color w:val="000000"/>
          <w:sz w:val="24"/>
          <w:szCs w:val="24"/>
          <w:highlight w:val="none"/>
        </w:rPr>
        <w:t>实现从原始凭证，到凭证录入、审核、记账，以及各种辅助核算信息的输入和输出，支持部门核算、供应商核算、往来核算等多种辅助核算，同时生成总账、明细账、辅助账等会计账簿备查。</w:t>
      </w:r>
    </w:p>
    <w:p>
      <w:pPr>
        <w:ind w:firstLine="480"/>
        <w:jc w:val="left"/>
        <w:rPr>
          <w:rFonts w:ascii="微软雅黑" w:hAnsi="微软雅黑" w:eastAsia="微软雅黑" w:cs="Times New Roman"/>
          <w:color w:val="000000"/>
          <w:sz w:val="24"/>
          <w:szCs w:val="24"/>
          <w:highlight w:val="none"/>
        </w:rPr>
      </w:pPr>
      <w:r>
        <w:rPr>
          <w:rFonts w:hint="eastAsia" w:ascii="微软雅黑" w:hAnsi="微软雅黑" w:eastAsia="微软雅黑" w:cs="宋体"/>
          <w:color w:val="000000"/>
          <w:sz w:val="24"/>
          <w:szCs w:val="24"/>
          <w:highlight w:val="none"/>
        </w:rPr>
        <w:t>支持通过数据交换实现自动提取</w:t>
      </w:r>
      <w:r>
        <w:rPr>
          <w:rFonts w:ascii="微软雅黑" w:hAnsi="微软雅黑" w:eastAsia="微软雅黑" w:cs="宋体"/>
          <w:color w:val="000000"/>
          <w:sz w:val="24"/>
          <w:szCs w:val="24"/>
          <w:highlight w:val="none"/>
        </w:rPr>
        <w:t>HIS</w:t>
      </w:r>
      <w:r>
        <w:rPr>
          <w:rFonts w:hint="eastAsia" w:ascii="微软雅黑" w:hAnsi="微软雅黑" w:eastAsia="微软雅黑" w:cs="宋体"/>
          <w:color w:val="000000"/>
          <w:sz w:val="24"/>
          <w:szCs w:val="24"/>
          <w:highlight w:val="none"/>
        </w:rPr>
        <w:t>中医疗收入数据生成会计凭证。</w:t>
      </w:r>
    </w:p>
    <w:p>
      <w:pPr>
        <w:ind w:firstLine="480"/>
        <w:jc w:val="left"/>
        <w:rPr>
          <w:rFonts w:ascii="微软雅黑" w:hAnsi="微软雅黑" w:eastAsia="微软雅黑" w:cs="宋体"/>
          <w:color w:val="000000"/>
          <w:sz w:val="24"/>
          <w:szCs w:val="24"/>
          <w:highlight w:val="none"/>
        </w:rPr>
      </w:pPr>
      <w:r>
        <w:rPr>
          <w:rFonts w:hint="eastAsia" w:ascii="微软雅黑" w:hAnsi="微软雅黑" w:eastAsia="微软雅黑" w:cs="宋体"/>
          <w:color w:val="000000"/>
          <w:sz w:val="24"/>
          <w:szCs w:val="24"/>
          <w:highlight w:val="none"/>
        </w:rPr>
        <w:t>支持通过业务基础平台自动提取物资入出库单、固定资产折旧维修。</w:t>
      </w:r>
    </w:p>
    <w:p>
      <w:pPr>
        <w:ind w:firstLine="520"/>
        <w:jc w:val="left"/>
        <w:rPr>
          <w:rFonts w:ascii="微软雅黑" w:hAnsi="微软雅黑" w:eastAsia="微软雅黑" w:cs="Times New Roman"/>
          <w:bCs/>
          <w:color w:val="000000"/>
          <w:sz w:val="24"/>
          <w:szCs w:val="24"/>
          <w:highlight w:val="none"/>
        </w:rPr>
      </w:pPr>
      <w:r>
        <w:rPr>
          <w:rFonts w:ascii="微软雅黑" w:hAnsi="微软雅黑" w:eastAsia="微软雅黑" w:cs="宋体"/>
          <w:bCs/>
          <w:color w:val="000000"/>
          <w:sz w:val="24"/>
          <w:szCs w:val="24"/>
          <w:highlight w:val="none"/>
        </w:rPr>
        <w:t>3.</w:t>
      </w:r>
      <w:r>
        <w:rPr>
          <w:rFonts w:hint="eastAsia" w:ascii="微软雅黑" w:hAnsi="微软雅黑" w:eastAsia="微软雅黑" w:cs="宋体"/>
          <w:bCs/>
          <w:color w:val="000000"/>
          <w:sz w:val="24"/>
          <w:szCs w:val="24"/>
          <w:highlight w:val="none"/>
        </w:rPr>
        <w:t>现金银行管理</w:t>
      </w:r>
    </w:p>
    <w:p>
      <w:pPr>
        <w:ind w:firstLine="480"/>
        <w:jc w:val="left"/>
        <w:rPr>
          <w:rFonts w:ascii="微软雅黑" w:hAnsi="微软雅黑" w:eastAsia="微软雅黑" w:cs="宋体"/>
          <w:color w:val="000000"/>
          <w:sz w:val="24"/>
          <w:szCs w:val="24"/>
          <w:highlight w:val="none"/>
        </w:rPr>
      </w:pPr>
      <w:r>
        <w:rPr>
          <w:rFonts w:hint="eastAsia" w:ascii="微软雅黑" w:hAnsi="微软雅黑" w:eastAsia="微软雅黑" w:cs="宋体"/>
          <w:color w:val="000000"/>
          <w:sz w:val="24"/>
          <w:szCs w:val="24"/>
          <w:highlight w:val="none"/>
        </w:rPr>
        <w:t>包括现金银行出纳流水账登记、现金银行日记账管理、出纳对账、银行对账等日常工作处理。</w:t>
      </w:r>
    </w:p>
    <w:p>
      <w:pPr>
        <w:ind w:firstLine="520"/>
        <w:jc w:val="left"/>
        <w:rPr>
          <w:rFonts w:ascii="微软雅黑" w:hAnsi="微软雅黑" w:eastAsia="微软雅黑" w:cs="Times New Roman"/>
          <w:bCs/>
          <w:color w:val="000000"/>
          <w:sz w:val="24"/>
          <w:szCs w:val="24"/>
          <w:highlight w:val="none"/>
        </w:rPr>
      </w:pPr>
      <w:r>
        <w:rPr>
          <w:rFonts w:ascii="微软雅黑" w:hAnsi="微软雅黑" w:eastAsia="微软雅黑" w:cs="宋体"/>
          <w:bCs/>
          <w:color w:val="000000"/>
          <w:sz w:val="24"/>
          <w:szCs w:val="24"/>
          <w:highlight w:val="none"/>
        </w:rPr>
        <w:t>4.</w:t>
      </w:r>
      <w:r>
        <w:rPr>
          <w:rFonts w:hint="eastAsia" w:ascii="微软雅黑" w:hAnsi="微软雅黑" w:eastAsia="微软雅黑" w:cs="宋体"/>
          <w:bCs/>
          <w:color w:val="000000"/>
          <w:sz w:val="24"/>
          <w:szCs w:val="24"/>
          <w:highlight w:val="none"/>
        </w:rPr>
        <w:t>往来帐管理</w:t>
      </w:r>
    </w:p>
    <w:p>
      <w:pPr>
        <w:ind w:firstLine="480"/>
        <w:jc w:val="left"/>
        <w:rPr>
          <w:rFonts w:ascii="微软雅黑" w:hAnsi="微软雅黑" w:eastAsia="微软雅黑" w:cs="Times New Roman"/>
          <w:color w:val="000000"/>
          <w:sz w:val="24"/>
          <w:szCs w:val="24"/>
          <w:highlight w:val="none"/>
        </w:rPr>
      </w:pPr>
      <w:r>
        <w:rPr>
          <w:rFonts w:hint="eastAsia" w:ascii="微软雅黑" w:hAnsi="微软雅黑" w:eastAsia="微软雅黑" w:cs="宋体"/>
          <w:color w:val="000000"/>
          <w:sz w:val="24"/>
          <w:szCs w:val="24"/>
          <w:highlight w:val="none"/>
        </w:rPr>
        <w:t>包括应收、应付款项的登记、核销、账龄分析和往来核销明细查询和核销清册数据。</w:t>
      </w:r>
    </w:p>
    <w:p>
      <w:pPr>
        <w:ind w:firstLine="480"/>
        <w:jc w:val="left"/>
        <w:rPr>
          <w:rFonts w:ascii="微软雅黑" w:hAnsi="微软雅黑" w:eastAsia="微软雅黑" w:cs="宋体"/>
          <w:color w:val="000000"/>
          <w:sz w:val="24"/>
          <w:szCs w:val="24"/>
          <w:highlight w:val="none"/>
        </w:rPr>
      </w:pPr>
      <w:r>
        <w:rPr>
          <w:rFonts w:hint="eastAsia" w:ascii="微软雅黑" w:hAnsi="微软雅黑" w:eastAsia="微软雅黑" w:cs="宋体"/>
          <w:color w:val="000000"/>
          <w:sz w:val="24"/>
          <w:szCs w:val="24"/>
          <w:highlight w:val="none"/>
        </w:rPr>
        <w:t>支持医院会计制度规定的坏账提取范围和方法自动提取坏账准备。</w:t>
      </w:r>
    </w:p>
    <w:p>
      <w:pPr>
        <w:ind w:firstLine="520"/>
        <w:jc w:val="left"/>
        <w:rPr>
          <w:rFonts w:ascii="微软雅黑" w:hAnsi="微软雅黑" w:eastAsia="微软雅黑" w:cs="Times New Roman"/>
          <w:bCs/>
          <w:color w:val="000000"/>
          <w:sz w:val="24"/>
          <w:szCs w:val="24"/>
          <w:highlight w:val="none"/>
        </w:rPr>
      </w:pPr>
      <w:r>
        <w:rPr>
          <w:rFonts w:ascii="微软雅黑" w:hAnsi="微软雅黑" w:eastAsia="微软雅黑" w:cs="宋体"/>
          <w:bCs/>
          <w:color w:val="000000"/>
          <w:sz w:val="24"/>
          <w:szCs w:val="24"/>
          <w:highlight w:val="none"/>
        </w:rPr>
        <w:t>5.</w:t>
      </w:r>
      <w:r>
        <w:rPr>
          <w:rFonts w:hint="eastAsia" w:ascii="微软雅黑" w:hAnsi="微软雅黑" w:eastAsia="微软雅黑" w:cs="宋体"/>
          <w:bCs/>
          <w:color w:val="000000"/>
          <w:sz w:val="24"/>
          <w:szCs w:val="24"/>
          <w:highlight w:val="none"/>
        </w:rPr>
        <w:t>薪酬发放</w:t>
      </w:r>
    </w:p>
    <w:p>
      <w:pPr>
        <w:ind w:firstLine="480"/>
        <w:jc w:val="left"/>
        <w:rPr>
          <w:rFonts w:ascii="微软雅黑" w:hAnsi="微软雅黑" w:eastAsia="微软雅黑" w:cs="宋体"/>
          <w:color w:val="000000"/>
          <w:sz w:val="24"/>
          <w:szCs w:val="24"/>
          <w:highlight w:val="none"/>
        </w:rPr>
      </w:pPr>
      <w:r>
        <w:rPr>
          <w:rFonts w:hint="eastAsia" w:ascii="微软雅黑" w:hAnsi="微软雅黑" w:eastAsia="微软雅黑" w:cs="宋体"/>
          <w:color w:val="000000"/>
          <w:sz w:val="24"/>
          <w:szCs w:val="24"/>
          <w:highlight w:val="none"/>
        </w:rPr>
        <w:t>包括薪资的录入、计算、发放、查询、转账，提供一个简便、易用的薪酬计算和发放的管理工具；</w:t>
      </w:r>
    </w:p>
    <w:p>
      <w:pPr>
        <w:ind w:firstLine="520"/>
        <w:jc w:val="left"/>
        <w:rPr>
          <w:rFonts w:ascii="微软雅黑" w:hAnsi="微软雅黑" w:eastAsia="微软雅黑" w:cs="Times New Roman"/>
          <w:bCs/>
          <w:color w:val="000000"/>
          <w:sz w:val="24"/>
          <w:szCs w:val="24"/>
          <w:highlight w:val="none"/>
        </w:rPr>
      </w:pPr>
      <w:r>
        <w:rPr>
          <w:rFonts w:hint="eastAsia" w:ascii="微软雅黑" w:hAnsi="微软雅黑" w:eastAsia="微软雅黑" w:cs="宋体"/>
          <w:bCs/>
          <w:color w:val="000000"/>
          <w:sz w:val="24"/>
          <w:szCs w:val="24"/>
          <w:highlight w:val="none"/>
        </w:rPr>
        <w:t>6</w:t>
      </w:r>
      <w:r>
        <w:rPr>
          <w:rFonts w:ascii="微软雅黑" w:hAnsi="微软雅黑" w:eastAsia="微软雅黑" w:cs="宋体"/>
          <w:bCs/>
          <w:color w:val="000000"/>
          <w:sz w:val="24"/>
          <w:szCs w:val="24"/>
          <w:highlight w:val="none"/>
        </w:rPr>
        <w:t>.</w:t>
      </w:r>
      <w:r>
        <w:rPr>
          <w:rFonts w:hint="eastAsia" w:ascii="微软雅黑" w:hAnsi="微软雅黑" w:eastAsia="微软雅黑" w:cs="宋体"/>
          <w:bCs/>
          <w:color w:val="000000"/>
          <w:sz w:val="24"/>
          <w:szCs w:val="24"/>
          <w:highlight w:val="none"/>
        </w:rPr>
        <w:t>报表管理</w:t>
      </w:r>
    </w:p>
    <w:p>
      <w:pPr>
        <w:ind w:firstLine="480"/>
        <w:jc w:val="left"/>
        <w:rPr>
          <w:rFonts w:ascii="微软雅黑" w:hAnsi="微软雅黑" w:eastAsia="微软雅黑" w:cs="宋体"/>
          <w:color w:val="000000"/>
          <w:sz w:val="24"/>
          <w:szCs w:val="24"/>
          <w:highlight w:val="none"/>
        </w:rPr>
      </w:pPr>
      <w:r>
        <w:rPr>
          <w:rFonts w:hint="eastAsia" w:ascii="微软雅黑" w:hAnsi="微软雅黑" w:eastAsia="微软雅黑" w:cs="宋体"/>
          <w:color w:val="000000"/>
          <w:sz w:val="24"/>
          <w:szCs w:val="24"/>
          <w:highlight w:val="none"/>
        </w:rPr>
        <w:t>支持财政部门等上级主管单位规定的格式化的报表，如资产负债、收入支出表、现金流量表等，支持自由定制报表的格式、类型，自动生成报表；支持各种类型的会计取数函数，支持各种关系的审核定义和汇总定义；可以自动生成报表、查询、审核、汇总。</w:t>
      </w:r>
    </w:p>
    <w:p>
      <w:pPr>
        <w:ind w:firstLine="520"/>
        <w:jc w:val="left"/>
        <w:rPr>
          <w:rFonts w:ascii="微软雅黑" w:hAnsi="微软雅黑" w:eastAsia="微软雅黑" w:cs="Times New Roman"/>
          <w:bCs/>
          <w:color w:val="000000"/>
          <w:sz w:val="24"/>
          <w:szCs w:val="24"/>
          <w:highlight w:val="none"/>
        </w:rPr>
      </w:pPr>
      <w:r>
        <w:rPr>
          <w:rFonts w:hint="eastAsia" w:ascii="微软雅黑" w:hAnsi="微软雅黑" w:eastAsia="微软雅黑" w:cs="宋体"/>
          <w:bCs/>
          <w:color w:val="000000"/>
          <w:sz w:val="24"/>
          <w:szCs w:val="24"/>
          <w:highlight w:val="none"/>
        </w:rPr>
        <w:t>7</w:t>
      </w:r>
      <w:r>
        <w:rPr>
          <w:rFonts w:ascii="微软雅黑" w:hAnsi="微软雅黑" w:eastAsia="微软雅黑" w:cs="宋体"/>
          <w:bCs/>
          <w:color w:val="000000"/>
          <w:sz w:val="24"/>
          <w:szCs w:val="24"/>
          <w:highlight w:val="none"/>
        </w:rPr>
        <w:t>.</w:t>
      </w:r>
      <w:r>
        <w:rPr>
          <w:rFonts w:hint="eastAsia" w:ascii="微软雅黑" w:hAnsi="微软雅黑" w:eastAsia="微软雅黑" w:cs="宋体"/>
          <w:bCs/>
          <w:color w:val="000000"/>
          <w:sz w:val="24"/>
          <w:szCs w:val="24"/>
          <w:highlight w:val="none"/>
        </w:rPr>
        <w:t>财务分析</w:t>
      </w:r>
    </w:p>
    <w:p>
      <w:pPr>
        <w:ind w:firstLine="480"/>
        <w:jc w:val="left"/>
        <w:rPr>
          <w:rFonts w:ascii="微软雅黑" w:hAnsi="微软雅黑" w:eastAsia="微软雅黑" w:cs="宋体"/>
          <w:color w:val="000000"/>
          <w:sz w:val="24"/>
          <w:szCs w:val="24"/>
          <w:highlight w:val="none"/>
        </w:rPr>
      </w:pPr>
      <w:r>
        <w:rPr>
          <w:rFonts w:hint="eastAsia" w:ascii="微软雅黑" w:hAnsi="微软雅黑" w:eastAsia="微软雅黑" w:cs="宋体"/>
          <w:color w:val="000000"/>
          <w:sz w:val="24"/>
          <w:szCs w:val="24"/>
          <w:highlight w:val="none"/>
        </w:rPr>
        <w:t>提供财务报表分析、财务结构分析、财务预算分析、现金收支分析、指标分析和杜邦分析功能，支持绝对数、环比、定基、对比和结构等多种分析方法，支持图形、表格的展现方式；提供对医院净资产收益率和医疗风险基金的核算和分析。</w:t>
      </w:r>
    </w:p>
    <w:bookmarkEnd w:id="22"/>
    <w:bookmarkEnd w:id="23"/>
    <w:p>
      <w:pPr>
        <w:pStyle w:val="4"/>
        <w:numPr>
          <w:ilvl w:val="2"/>
          <w:numId w:val="9"/>
        </w:numPr>
        <w:spacing w:before="0" w:after="0" w:line="240" w:lineRule="auto"/>
        <w:rPr>
          <w:rFonts w:ascii="微软雅黑" w:hAnsi="微软雅黑" w:eastAsia="微软雅黑" w:cs="宋体"/>
          <w:color w:val="000000"/>
          <w:sz w:val="28"/>
          <w:szCs w:val="28"/>
        </w:rPr>
      </w:pPr>
      <w:bookmarkStart w:id="24" w:name="_Toc4004"/>
      <w:bookmarkStart w:id="25" w:name="_Toc331574644"/>
      <w:bookmarkStart w:id="26" w:name="_Toc288663532"/>
      <w:bookmarkStart w:id="27" w:name="_Toc294263053"/>
      <w:bookmarkStart w:id="28" w:name="_Toc330914114"/>
      <w:bookmarkStart w:id="29" w:name="_Toc296011134"/>
      <w:bookmarkStart w:id="30" w:name="_Toc332039866"/>
      <w:bookmarkStart w:id="31" w:name="_Toc288657519"/>
      <w:bookmarkStart w:id="32" w:name="_Toc340319694"/>
      <w:r>
        <w:rPr>
          <w:rFonts w:hint="eastAsia" w:ascii="微软雅黑" w:hAnsi="微软雅黑" w:eastAsia="微软雅黑" w:cs="宋体"/>
          <w:color w:val="000000"/>
          <w:sz w:val="28"/>
          <w:szCs w:val="28"/>
        </w:rPr>
        <w:t>财务系统业务功能要求详细描述</w:t>
      </w:r>
      <w:bookmarkEnd w:id="24"/>
    </w:p>
    <w:p>
      <w:pPr>
        <w:pStyle w:val="10"/>
        <w:numPr>
          <w:ilvl w:val="0"/>
          <w:numId w:val="12"/>
        </w:numPr>
        <w:rPr>
          <w:rFonts w:ascii="微软雅黑" w:hAnsi="微软雅黑" w:eastAsia="微软雅黑"/>
          <w:b/>
          <w:sz w:val="24"/>
          <w:szCs w:val="24"/>
        </w:rPr>
      </w:pPr>
      <w:bookmarkStart w:id="33" w:name="_Toc523486787"/>
      <w:bookmarkStart w:id="34" w:name="_Toc27372"/>
      <w:r>
        <w:rPr>
          <w:rFonts w:hint="eastAsia" w:ascii="微软雅黑" w:hAnsi="微软雅黑" w:eastAsia="微软雅黑"/>
          <w:b/>
          <w:sz w:val="24"/>
          <w:szCs w:val="24"/>
        </w:rPr>
        <w:t>账务处理</w:t>
      </w:r>
      <w:bookmarkEnd w:id="33"/>
      <w:bookmarkEnd w:id="34"/>
    </w:p>
    <w:p>
      <w:pPr>
        <w:pStyle w:val="8"/>
        <w:widowControl w:val="0"/>
        <w:numPr>
          <w:ilvl w:val="0"/>
          <w:numId w:val="13"/>
        </w:numPr>
        <w:spacing w:before="0" w:after="0" w:line="360" w:lineRule="auto"/>
        <w:contextualSpacing w:val="0"/>
        <w:jc w:val="both"/>
        <w:rPr>
          <w:rFonts w:ascii="微软雅黑" w:hAnsi="微软雅黑" w:eastAsia="微软雅黑" w:cs="微软雅黑"/>
          <w:b/>
          <w:sz w:val="24"/>
          <w:szCs w:val="24"/>
        </w:rPr>
      </w:pPr>
      <w:r>
        <w:rPr>
          <w:rFonts w:hint="eastAsia" w:ascii="微软雅黑" w:hAnsi="微软雅黑" w:eastAsia="微软雅黑" w:cs="微软雅黑"/>
          <w:b/>
          <w:sz w:val="24"/>
          <w:szCs w:val="24"/>
        </w:rPr>
        <w:t>会计科目体系</w:t>
      </w:r>
    </w:p>
    <w:p>
      <w:pPr>
        <w:spacing w:line="360" w:lineRule="auto"/>
        <w:ind w:firstLine="480" w:firstLineChars="200"/>
        <w:rPr>
          <w:rFonts w:ascii="微软雅黑" w:hAnsi="微软雅黑" w:eastAsia="微软雅黑"/>
          <w:sz w:val="24"/>
          <w:szCs w:val="24"/>
        </w:rPr>
      </w:pPr>
      <w:r>
        <w:rPr>
          <w:rFonts w:hint="eastAsia" w:ascii="微软雅黑" w:hAnsi="微软雅黑" w:eastAsia="微软雅黑"/>
          <w:sz w:val="24"/>
          <w:szCs w:val="24"/>
        </w:rPr>
        <w:t>系统支持多种会计科目体系核算，在业务基础平台的会计科目体系中预置了最新会计制度以及政府会计制度要求的预算会计科目、财务会计科目、医院会计科目和企业会计科目表，并且预置了根据不同会计制度要求的会计科目，可以自定义科目的编码规则，及科目代码长度。</w:t>
      </w:r>
    </w:p>
    <w:p>
      <w:pPr>
        <w:spacing w:line="360" w:lineRule="auto"/>
        <w:ind w:firstLine="480" w:firstLineChars="200"/>
        <w:rPr>
          <w:rFonts w:ascii="微软雅黑" w:hAnsi="微软雅黑" w:eastAsia="微软雅黑"/>
          <w:sz w:val="24"/>
          <w:szCs w:val="24"/>
        </w:rPr>
      </w:pPr>
      <w:r>
        <w:rPr>
          <w:rFonts w:hint="eastAsia" w:ascii="微软雅黑" w:hAnsi="微软雅黑" w:eastAsia="微软雅黑"/>
          <w:sz w:val="24"/>
        </w:rPr>
        <w:t>系统能够区分会计科目为财务会计科目还是预算会计科目，满足政府会计制度的要求。</w:t>
      </w:r>
      <w:r>
        <w:rPr>
          <w:rFonts w:hint="eastAsia" w:ascii="微软雅黑" w:hAnsi="微软雅黑" w:eastAsia="微软雅黑"/>
          <w:sz w:val="24"/>
          <w:szCs w:val="24"/>
        </w:rPr>
        <w:t xml:space="preserve"> </w:t>
      </w:r>
    </w:p>
    <w:p>
      <w:pPr>
        <w:pStyle w:val="8"/>
        <w:widowControl w:val="0"/>
        <w:numPr>
          <w:ilvl w:val="0"/>
          <w:numId w:val="13"/>
        </w:numPr>
        <w:spacing w:before="0" w:after="0" w:line="360" w:lineRule="auto"/>
        <w:contextualSpacing w:val="0"/>
        <w:jc w:val="both"/>
        <w:rPr>
          <w:rFonts w:ascii="微软雅黑" w:hAnsi="微软雅黑" w:eastAsia="微软雅黑" w:cs="微软雅黑"/>
          <w:b/>
          <w:sz w:val="24"/>
          <w:szCs w:val="24"/>
        </w:rPr>
      </w:pPr>
      <w:r>
        <w:rPr>
          <w:rFonts w:hint="eastAsia" w:ascii="微软雅黑" w:hAnsi="微软雅黑" w:eastAsia="微软雅黑" w:cs="微软雅黑"/>
          <w:b/>
          <w:sz w:val="24"/>
          <w:szCs w:val="24"/>
        </w:rPr>
        <w:t>基础设置</w:t>
      </w:r>
    </w:p>
    <w:p>
      <w:pPr>
        <w:spacing w:line="360" w:lineRule="auto"/>
        <w:ind w:firstLine="480" w:firstLineChars="200"/>
        <w:rPr>
          <w:rFonts w:ascii="微软雅黑" w:hAnsi="微软雅黑" w:eastAsia="微软雅黑"/>
          <w:sz w:val="24"/>
          <w:szCs w:val="24"/>
        </w:rPr>
      </w:pPr>
      <w:r>
        <w:rPr>
          <w:rFonts w:hint="eastAsia" w:ascii="微软雅黑" w:hAnsi="微软雅黑" w:eastAsia="微软雅黑"/>
          <w:sz w:val="24"/>
          <w:szCs w:val="24"/>
        </w:rPr>
        <w:t>可以自定义科目、凭证类型、自定义辅助核算、常用摘要、现金流量、项目信息、电子发票、结算方式等基本信息。</w:t>
      </w:r>
    </w:p>
    <w:p>
      <w:pPr>
        <w:spacing w:line="360" w:lineRule="auto"/>
        <w:ind w:firstLine="480" w:firstLineChars="200"/>
        <w:rPr>
          <w:rFonts w:ascii="微软雅黑" w:hAnsi="微软雅黑" w:eastAsia="微软雅黑"/>
          <w:sz w:val="24"/>
          <w:szCs w:val="24"/>
        </w:rPr>
      </w:pPr>
      <w:r>
        <w:rPr>
          <w:rFonts w:hint="eastAsia" w:ascii="微软雅黑" w:hAnsi="微软雅黑" w:eastAsia="微软雅黑"/>
          <w:sz w:val="24"/>
          <w:szCs w:val="24"/>
        </w:rPr>
        <w:t>支持自定义辅助核算设置。</w:t>
      </w:r>
      <w:r>
        <w:rPr>
          <w:rFonts w:ascii="微软雅黑" w:hAnsi="微软雅黑" w:eastAsia="微软雅黑"/>
          <w:sz w:val="24"/>
          <w:szCs w:val="24"/>
        </w:rPr>
        <w:t xml:space="preserve"> </w:t>
      </w:r>
    </w:p>
    <w:p>
      <w:pPr>
        <w:spacing w:line="360" w:lineRule="auto"/>
        <w:ind w:firstLine="480" w:firstLineChars="200"/>
        <w:rPr>
          <w:rFonts w:ascii="微软雅黑" w:hAnsi="微软雅黑" w:eastAsia="微软雅黑"/>
          <w:sz w:val="24"/>
        </w:rPr>
      </w:pPr>
      <w:r>
        <w:rPr>
          <w:rFonts w:hint="eastAsia" w:ascii="微软雅黑" w:hAnsi="微软雅黑" w:eastAsia="微软雅黑"/>
          <w:sz w:val="24"/>
        </w:rPr>
        <w:t>系统按政府会计制度要求设置财务会计科目与预算会计科目的对应关系，设置之后，系统会按照设置的对应关系，通过选择的财务会计科目筛选过滤出对应的预算会计科目。</w:t>
      </w:r>
    </w:p>
    <w:p>
      <w:pPr>
        <w:spacing w:line="360" w:lineRule="auto"/>
        <w:ind w:firstLine="480" w:firstLineChars="200"/>
        <w:rPr>
          <w:rFonts w:ascii="微软雅黑" w:hAnsi="微软雅黑" w:eastAsia="微软雅黑"/>
          <w:sz w:val="24"/>
        </w:rPr>
      </w:pPr>
      <w:r>
        <w:rPr>
          <w:rFonts w:hint="eastAsia" w:ascii="微软雅黑" w:hAnsi="微软雅黑" w:eastAsia="微软雅黑"/>
          <w:sz w:val="24"/>
        </w:rPr>
        <w:t>满足政府会计制度财务会计和预算会计平行记账的要求。</w:t>
      </w:r>
    </w:p>
    <w:p>
      <w:pPr>
        <w:spacing w:line="360" w:lineRule="auto"/>
        <w:ind w:firstLine="480" w:firstLineChars="200"/>
        <w:rPr>
          <w:rFonts w:ascii="微软雅黑" w:hAnsi="微软雅黑" w:eastAsia="微软雅黑"/>
          <w:sz w:val="24"/>
          <w:szCs w:val="24"/>
        </w:rPr>
      </w:pPr>
      <w:r>
        <w:rPr>
          <w:rFonts w:hint="eastAsia" w:ascii="微软雅黑" w:hAnsi="微软雅黑" w:eastAsia="微软雅黑"/>
          <w:sz w:val="24"/>
        </w:rPr>
        <w:t>按照新会计制度要求，初始化对应的现金流量类别和项目。</w:t>
      </w:r>
    </w:p>
    <w:p>
      <w:pPr>
        <w:pStyle w:val="8"/>
        <w:widowControl w:val="0"/>
        <w:numPr>
          <w:ilvl w:val="0"/>
          <w:numId w:val="13"/>
        </w:numPr>
        <w:spacing w:before="0" w:after="0" w:line="360" w:lineRule="auto"/>
        <w:contextualSpacing w:val="0"/>
        <w:jc w:val="both"/>
        <w:rPr>
          <w:rFonts w:ascii="微软雅黑" w:hAnsi="微软雅黑" w:eastAsia="微软雅黑" w:cs="微软雅黑"/>
          <w:b/>
          <w:sz w:val="24"/>
          <w:szCs w:val="24"/>
        </w:rPr>
      </w:pPr>
      <w:r>
        <w:rPr>
          <w:rFonts w:hint="eastAsia" w:ascii="微软雅黑" w:hAnsi="微软雅黑" w:eastAsia="微软雅黑" w:cs="微软雅黑"/>
          <w:b/>
          <w:sz w:val="24"/>
          <w:szCs w:val="24"/>
        </w:rPr>
        <w:t>凭证平台</w:t>
      </w:r>
    </w:p>
    <w:p>
      <w:pPr>
        <w:spacing w:line="360" w:lineRule="auto"/>
        <w:ind w:firstLine="504" w:firstLineChars="210"/>
        <w:rPr>
          <w:rFonts w:ascii="微软雅黑" w:hAnsi="微软雅黑" w:eastAsia="微软雅黑"/>
          <w:sz w:val="24"/>
          <w:szCs w:val="24"/>
        </w:rPr>
      </w:pPr>
      <w:r>
        <w:rPr>
          <w:rFonts w:hint="eastAsia" w:ascii="微软雅黑" w:hAnsi="微软雅黑" w:eastAsia="微软雅黑"/>
          <w:sz w:val="24"/>
          <w:szCs w:val="24"/>
        </w:rPr>
        <w:t>提供凭证的日常录入、查询、记账、审核等常用操作， 并针对不同的科目类别展示对应的现金流量项目、辅助核算等。</w:t>
      </w:r>
    </w:p>
    <w:p>
      <w:pPr>
        <w:pStyle w:val="8"/>
        <w:widowControl w:val="0"/>
        <w:numPr>
          <w:ilvl w:val="0"/>
          <w:numId w:val="14"/>
        </w:numPr>
        <w:spacing w:before="0" w:after="0" w:line="360" w:lineRule="auto"/>
        <w:contextualSpacing w:val="0"/>
        <w:jc w:val="both"/>
        <w:rPr>
          <w:rFonts w:ascii="微软雅黑" w:hAnsi="微软雅黑" w:eastAsia="微软雅黑"/>
          <w:sz w:val="24"/>
          <w:szCs w:val="24"/>
        </w:rPr>
      </w:pPr>
      <w:r>
        <w:rPr>
          <w:rFonts w:hint="eastAsia" w:ascii="微软雅黑" w:hAnsi="微软雅黑" w:eastAsia="微软雅黑" w:cs="Calibri"/>
          <w:sz w:val="24"/>
        </w:rPr>
        <w:t>对财务会计凭证类型和预算会计凭证类型进行区分。</w:t>
      </w:r>
    </w:p>
    <w:p>
      <w:pPr>
        <w:pStyle w:val="8"/>
        <w:widowControl w:val="0"/>
        <w:numPr>
          <w:ilvl w:val="0"/>
          <w:numId w:val="14"/>
        </w:numPr>
        <w:spacing w:before="0" w:after="0" w:line="360" w:lineRule="auto"/>
        <w:contextualSpacing w:val="0"/>
        <w:jc w:val="both"/>
        <w:rPr>
          <w:rFonts w:ascii="微软雅黑" w:hAnsi="微软雅黑" w:eastAsia="微软雅黑"/>
          <w:sz w:val="24"/>
          <w:szCs w:val="24"/>
        </w:rPr>
      </w:pPr>
      <w:r>
        <w:rPr>
          <w:rFonts w:hint="eastAsia" w:ascii="微软雅黑" w:hAnsi="微软雅黑" w:eastAsia="微软雅黑" w:cs="Calibri"/>
          <w:sz w:val="24"/>
        </w:rPr>
        <w:t>所核算业务需要平行记账时，凭证保存后生成两张凭证，财务会计凭证预算会计凭证各一张，预算会计凭证进行借贷相等较验，预算会计分录与财务会计分录保存对应关系。</w:t>
      </w:r>
    </w:p>
    <w:p>
      <w:pPr>
        <w:numPr>
          <w:ilvl w:val="0"/>
          <w:numId w:val="14"/>
        </w:numPr>
        <w:spacing w:line="360" w:lineRule="auto"/>
        <w:rPr>
          <w:rFonts w:ascii="微软雅黑" w:hAnsi="微软雅黑" w:eastAsia="微软雅黑"/>
          <w:sz w:val="24"/>
          <w:szCs w:val="24"/>
        </w:rPr>
      </w:pPr>
      <w:r>
        <w:rPr>
          <w:rFonts w:hint="eastAsia" w:ascii="微软雅黑" w:hAnsi="微软雅黑" w:eastAsia="微软雅黑"/>
          <w:sz w:val="24"/>
          <w:szCs w:val="24"/>
        </w:rPr>
        <w:t>支持往来账务的实时核销和集中自动核销；</w:t>
      </w:r>
    </w:p>
    <w:p>
      <w:pPr>
        <w:numPr>
          <w:ilvl w:val="0"/>
          <w:numId w:val="14"/>
        </w:numPr>
        <w:spacing w:line="360" w:lineRule="auto"/>
        <w:rPr>
          <w:rFonts w:ascii="微软雅黑" w:hAnsi="微软雅黑" w:eastAsia="微软雅黑"/>
          <w:sz w:val="24"/>
          <w:szCs w:val="24"/>
        </w:rPr>
      </w:pPr>
      <w:r>
        <w:rPr>
          <w:rFonts w:hint="eastAsia" w:ascii="微软雅黑" w:hAnsi="微软雅黑" w:eastAsia="微软雅黑"/>
          <w:sz w:val="24"/>
          <w:szCs w:val="24"/>
        </w:rPr>
        <w:t>支持对未审核凭证的凭证号的修改、调整；</w:t>
      </w:r>
    </w:p>
    <w:p>
      <w:pPr>
        <w:numPr>
          <w:ilvl w:val="0"/>
          <w:numId w:val="14"/>
        </w:numPr>
        <w:spacing w:line="360" w:lineRule="auto"/>
        <w:rPr>
          <w:rFonts w:ascii="微软雅黑" w:hAnsi="微软雅黑" w:eastAsia="微软雅黑"/>
          <w:sz w:val="24"/>
          <w:szCs w:val="24"/>
        </w:rPr>
      </w:pPr>
      <w:r>
        <w:rPr>
          <w:rFonts w:ascii="微软雅黑" w:hAnsi="微软雅黑" w:eastAsia="微软雅黑"/>
          <w:sz w:val="24"/>
          <w:szCs w:val="24"/>
        </w:rPr>
        <w:t>支持凭证审核时进行标错提醒</w:t>
      </w:r>
      <w:r>
        <w:rPr>
          <w:rFonts w:hint="eastAsia" w:ascii="微软雅黑" w:hAnsi="微软雅黑" w:eastAsia="微软雅黑"/>
          <w:sz w:val="24"/>
          <w:szCs w:val="24"/>
        </w:rPr>
        <w:t>；</w:t>
      </w:r>
    </w:p>
    <w:p>
      <w:pPr>
        <w:numPr>
          <w:ilvl w:val="0"/>
          <w:numId w:val="14"/>
        </w:numPr>
        <w:spacing w:line="360" w:lineRule="auto"/>
        <w:rPr>
          <w:rFonts w:ascii="微软雅黑" w:hAnsi="微软雅黑" w:eastAsia="微软雅黑"/>
          <w:sz w:val="24"/>
          <w:szCs w:val="24"/>
        </w:rPr>
      </w:pPr>
      <w:r>
        <w:rPr>
          <w:rFonts w:hint="eastAsia" w:ascii="微软雅黑" w:hAnsi="微软雅黑" w:eastAsia="微软雅黑"/>
          <w:sz w:val="24"/>
          <w:szCs w:val="24"/>
        </w:rPr>
        <w:t>支持凭证与辅助信息的一起打印；</w:t>
      </w:r>
    </w:p>
    <w:p>
      <w:pPr>
        <w:numPr>
          <w:ilvl w:val="0"/>
          <w:numId w:val="14"/>
        </w:numPr>
        <w:spacing w:line="360" w:lineRule="auto"/>
        <w:rPr>
          <w:rFonts w:ascii="微软雅黑" w:hAnsi="微软雅黑" w:eastAsia="微软雅黑"/>
          <w:sz w:val="24"/>
          <w:szCs w:val="24"/>
        </w:rPr>
      </w:pPr>
      <w:r>
        <w:rPr>
          <w:rFonts w:hint="eastAsia" w:ascii="微软雅黑" w:hAnsi="微软雅黑" w:eastAsia="微软雅黑"/>
          <w:sz w:val="24"/>
          <w:szCs w:val="24"/>
        </w:rPr>
        <w:t>强大的凭证打印功能，支持按照凭证号段、科目级次的打印，并支持汇总打印功能；</w:t>
      </w:r>
    </w:p>
    <w:p>
      <w:pPr>
        <w:numPr>
          <w:ilvl w:val="0"/>
          <w:numId w:val="14"/>
        </w:numPr>
        <w:spacing w:line="360" w:lineRule="auto"/>
        <w:rPr>
          <w:rFonts w:ascii="微软雅黑" w:hAnsi="微软雅黑" w:eastAsia="微软雅黑"/>
          <w:sz w:val="24"/>
          <w:szCs w:val="24"/>
        </w:rPr>
      </w:pPr>
      <w:r>
        <w:rPr>
          <w:rFonts w:hint="eastAsia" w:ascii="微软雅黑" w:hAnsi="微软雅黑" w:eastAsia="微软雅黑"/>
          <w:sz w:val="24"/>
          <w:szCs w:val="24"/>
        </w:rPr>
        <w:t>支持凭证号的整理，保持凭证信息的连贯性、完整性；</w:t>
      </w:r>
    </w:p>
    <w:p>
      <w:pPr>
        <w:numPr>
          <w:ilvl w:val="0"/>
          <w:numId w:val="14"/>
        </w:numPr>
        <w:spacing w:line="360" w:lineRule="auto"/>
        <w:rPr>
          <w:rFonts w:ascii="微软雅黑" w:hAnsi="微软雅黑" w:eastAsia="微软雅黑"/>
          <w:sz w:val="24"/>
          <w:szCs w:val="24"/>
        </w:rPr>
      </w:pPr>
      <w:r>
        <w:rPr>
          <w:rFonts w:hint="eastAsia" w:ascii="微软雅黑" w:hAnsi="微软雅黑" w:eastAsia="微软雅黑"/>
          <w:sz w:val="24"/>
          <w:szCs w:val="24"/>
        </w:rPr>
        <w:t>支持辅助信息单条或者多条录入，能批量导入科室支出数据；</w:t>
      </w:r>
    </w:p>
    <w:p>
      <w:pPr>
        <w:numPr>
          <w:ilvl w:val="0"/>
          <w:numId w:val="14"/>
        </w:numPr>
        <w:spacing w:line="360" w:lineRule="auto"/>
        <w:rPr>
          <w:rFonts w:ascii="微软雅黑" w:hAnsi="微软雅黑" w:eastAsia="微软雅黑"/>
          <w:sz w:val="24"/>
          <w:szCs w:val="24"/>
        </w:rPr>
      </w:pPr>
      <w:r>
        <w:rPr>
          <w:rFonts w:hint="eastAsia" w:ascii="微软雅黑" w:hAnsi="微软雅黑" w:eastAsia="微软雅黑"/>
          <w:sz w:val="24"/>
          <w:szCs w:val="24"/>
        </w:rPr>
        <w:t>支持对职工、供应商等多辅助项的核算，同时支持自定义辅助核算项，从多角度提供财务数据满足多种分析的需要；</w:t>
      </w:r>
    </w:p>
    <w:p>
      <w:pPr>
        <w:numPr>
          <w:ilvl w:val="0"/>
          <w:numId w:val="14"/>
        </w:numPr>
        <w:spacing w:line="360" w:lineRule="auto"/>
        <w:rPr>
          <w:rFonts w:ascii="微软雅黑" w:hAnsi="微软雅黑" w:eastAsia="微软雅黑"/>
          <w:sz w:val="24"/>
          <w:szCs w:val="24"/>
        </w:rPr>
      </w:pPr>
      <w:r>
        <w:rPr>
          <w:rFonts w:hint="eastAsia" w:ascii="微软雅黑" w:hAnsi="微软雅黑" w:eastAsia="微软雅黑"/>
          <w:sz w:val="24"/>
          <w:szCs w:val="24"/>
        </w:rPr>
        <w:t>支持凭证复制、即时编辑字典、凭证模板等功能；</w:t>
      </w:r>
    </w:p>
    <w:p>
      <w:pPr>
        <w:numPr>
          <w:ilvl w:val="0"/>
          <w:numId w:val="14"/>
        </w:numPr>
        <w:spacing w:line="360" w:lineRule="auto"/>
        <w:rPr>
          <w:rFonts w:ascii="微软雅黑" w:hAnsi="微软雅黑" w:eastAsia="微软雅黑"/>
          <w:sz w:val="24"/>
          <w:szCs w:val="24"/>
        </w:rPr>
      </w:pPr>
      <w:r>
        <w:rPr>
          <w:rFonts w:hint="eastAsia" w:ascii="微软雅黑" w:hAnsi="微软雅黑" w:eastAsia="微软雅黑"/>
          <w:sz w:val="24"/>
          <w:szCs w:val="24"/>
        </w:rPr>
        <w:t>支持凭证分册，按册汇总生成凭证汇总表数据。</w:t>
      </w:r>
    </w:p>
    <w:p>
      <w:pPr>
        <w:numPr>
          <w:ilvl w:val="0"/>
          <w:numId w:val="14"/>
        </w:numPr>
        <w:spacing w:line="360" w:lineRule="auto"/>
        <w:rPr>
          <w:rFonts w:ascii="微软雅黑" w:hAnsi="微软雅黑" w:eastAsia="微软雅黑"/>
          <w:sz w:val="24"/>
          <w:szCs w:val="24"/>
        </w:rPr>
      </w:pPr>
      <w:r>
        <w:rPr>
          <w:rFonts w:hint="eastAsia" w:ascii="微软雅黑" w:hAnsi="微软雅黑" w:eastAsia="微软雅黑"/>
          <w:sz w:val="24"/>
          <w:szCs w:val="24"/>
        </w:rPr>
        <w:t xml:space="preserve">凭证查看，方便的展示凭证的编号、状态等，也可以按照凭证明细展示。 </w:t>
      </w:r>
    </w:p>
    <w:p>
      <w:pPr>
        <w:numPr>
          <w:ilvl w:val="0"/>
          <w:numId w:val="14"/>
        </w:numPr>
        <w:spacing w:line="360" w:lineRule="auto"/>
        <w:rPr>
          <w:rFonts w:ascii="微软雅黑" w:hAnsi="微软雅黑" w:eastAsia="微软雅黑"/>
          <w:sz w:val="24"/>
          <w:szCs w:val="24"/>
        </w:rPr>
      </w:pPr>
      <w:r>
        <w:rPr>
          <w:rFonts w:hint="eastAsia" w:ascii="微软雅黑" w:hAnsi="微软雅黑" w:eastAsia="微软雅黑"/>
          <w:sz w:val="24"/>
          <w:szCs w:val="24"/>
        </w:rPr>
        <w:t>对记账凭证的查询，可按任意条件（含组合条件）进行，即模糊查询。凭证打印格式可自由设定套打和实打。</w:t>
      </w:r>
    </w:p>
    <w:p>
      <w:pPr>
        <w:numPr>
          <w:ilvl w:val="0"/>
          <w:numId w:val="14"/>
        </w:numPr>
        <w:spacing w:line="360" w:lineRule="auto"/>
        <w:rPr>
          <w:rFonts w:ascii="微软雅黑" w:hAnsi="微软雅黑" w:eastAsia="微软雅黑"/>
          <w:sz w:val="24"/>
          <w:szCs w:val="24"/>
        </w:rPr>
      </w:pPr>
      <w:r>
        <w:rPr>
          <w:rFonts w:hint="eastAsia" w:ascii="微软雅黑" w:hAnsi="微软雅黑" w:eastAsia="微软雅黑"/>
          <w:sz w:val="24"/>
          <w:szCs w:val="24"/>
        </w:rPr>
        <w:t>出纳签字，可以按照状态过滤：</w:t>
      </w:r>
    </w:p>
    <w:p>
      <w:pPr>
        <w:numPr>
          <w:ilvl w:val="0"/>
          <w:numId w:val="14"/>
        </w:numPr>
        <w:spacing w:line="360" w:lineRule="auto"/>
        <w:rPr>
          <w:rFonts w:ascii="微软雅黑" w:hAnsi="微软雅黑" w:eastAsia="微软雅黑"/>
          <w:sz w:val="24"/>
          <w:szCs w:val="24"/>
        </w:rPr>
      </w:pPr>
      <w:r>
        <w:rPr>
          <w:rFonts w:hint="eastAsia" w:ascii="微软雅黑" w:hAnsi="微软雅黑" w:eastAsia="微软雅黑"/>
          <w:sz w:val="24"/>
          <w:szCs w:val="24"/>
        </w:rPr>
        <w:t xml:space="preserve">凭证审核，按状态过滤，方便进行审核，同时可以查看错误信息及错误统计。 </w:t>
      </w:r>
    </w:p>
    <w:p>
      <w:pPr>
        <w:numPr>
          <w:ilvl w:val="0"/>
          <w:numId w:val="14"/>
        </w:numPr>
        <w:spacing w:line="360" w:lineRule="auto"/>
        <w:rPr>
          <w:rFonts w:ascii="微软雅黑" w:hAnsi="微软雅黑" w:eastAsia="微软雅黑"/>
          <w:sz w:val="24"/>
          <w:szCs w:val="24"/>
        </w:rPr>
      </w:pPr>
      <w:r>
        <w:rPr>
          <w:rFonts w:hint="eastAsia" w:ascii="微软雅黑" w:hAnsi="微软雅黑" w:eastAsia="微软雅黑"/>
          <w:sz w:val="24"/>
          <w:szCs w:val="24"/>
        </w:rPr>
        <w:t>凭证汇总表，可对凭证在各个科目的汇总</w:t>
      </w:r>
    </w:p>
    <w:p>
      <w:pPr>
        <w:numPr>
          <w:ilvl w:val="0"/>
          <w:numId w:val="14"/>
        </w:numPr>
        <w:spacing w:line="360" w:lineRule="auto"/>
        <w:rPr>
          <w:rFonts w:ascii="微软雅黑" w:hAnsi="微软雅黑" w:eastAsia="微软雅黑"/>
          <w:sz w:val="24"/>
          <w:szCs w:val="24"/>
        </w:rPr>
      </w:pPr>
      <w:r>
        <w:rPr>
          <w:rFonts w:ascii="微软雅黑" w:hAnsi="微软雅黑" w:eastAsia="微软雅黑"/>
          <w:sz w:val="24"/>
          <w:szCs w:val="24"/>
        </w:rPr>
        <w:t>支持多种现金流量标注方式，包括单笔标注、集中标注、自动标注等。</w:t>
      </w:r>
    </w:p>
    <w:p>
      <w:pPr>
        <w:numPr>
          <w:ilvl w:val="0"/>
          <w:numId w:val="14"/>
        </w:numPr>
        <w:spacing w:line="360" w:lineRule="auto"/>
        <w:rPr>
          <w:rFonts w:ascii="微软雅黑" w:hAnsi="微软雅黑" w:eastAsia="微软雅黑"/>
          <w:sz w:val="24"/>
          <w:szCs w:val="24"/>
        </w:rPr>
      </w:pPr>
      <w:r>
        <w:rPr>
          <w:rFonts w:ascii="微软雅黑" w:hAnsi="微软雅黑" w:eastAsia="微软雅黑"/>
          <w:sz w:val="24"/>
          <w:szCs w:val="24"/>
        </w:rPr>
        <w:t>根据现金流量标注可自动生成现金流量明细表及现金流量报表，动态地反映现金的变动情况。</w:t>
      </w:r>
    </w:p>
    <w:p>
      <w:pPr>
        <w:numPr>
          <w:ilvl w:val="0"/>
          <w:numId w:val="14"/>
        </w:numPr>
        <w:spacing w:line="360" w:lineRule="auto"/>
        <w:rPr>
          <w:rFonts w:ascii="微软雅黑" w:hAnsi="微软雅黑" w:eastAsia="微软雅黑"/>
          <w:sz w:val="24"/>
          <w:szCs w:val="24"/>
        </w:rPr>
      </w:pPr>
      <w:r>
        <w:rPr>
          <w:rFonts w:hint="eastAsia" w:ascii="微软雅黑" w:hAnsi="微软雅黑" w:eastAsia="微软雅黑"/>
          <w:sz w:val="24"/>
          <w:szCs w:val="24"/>
        </w:rPr>
        <w:t>结账处理，方便的进行结账操作</w:t>
      </w:r>
    </w:p>
    <w:p>
      <w:pPr>
        <w:pStyle w:val="8"/>
        <w:widowControl w:val="0"/>
        <w:numPr>
          <w:ilvl w:val="0"/>
          <w:numId w:val="13"/>
        </w:numPr>
        <w:spacing w:before="0" w:after="0" w:line="360" w:lineRule="auto"/>
        <w:contextualSpacing w:val="0"/>
        <w:jc w:val="both"/>
        <w:rPr>
          <w:rFonts w:ascii="微软雅黑" w:hAnsi="微软雅黑" w:eastAsia="微软雅黑" w:cs="微软雅黑"/>
          <w:b/>
          <w:sz w:val="24"/>
          <w:szCs w:val="24"/>
        </w:rPr>
      </w:pPr>
      <w:r>
        <w:rPr>
          <w:rFonts w:hint="eastAsia" w:ascii="微软雅黑" w:hAnsi="微软雅黑" w:eastAsia="微软雅黑" w:cs="微软雅黑"/>
          <w:b/>
          <w:sz w:val="24"/>
          <w:szCs w:val="24"/>
        </w:rPr>
        <w:t>外部业务</w:t>
      </w:r>
    </w:p>
    <w:p>
      <w:pPr>
        <w:spacing w:line="360" w:lineRule="auto"/>
        <w:rPr>
          <w:rFonts w:ascii="微软雅黑" w:hAnsi="微软雅黑" w:eastAsia="微软雅黑"/>
          <w:sz w:val="24"/>
          <w:szCs w:val="24"/>
        </w:rPr>
      </w:pPr>
      <w:r>
        <w:rPr>
          <w:rFonts w:ascii="宋体" w:hAnsi="宋体" w:eastAsia="等线" w:cs="宋体"/>
          <w:kern w:val="0"/>
        </w:rPr>
        <w:t xml:space="preserve">    </w:t>
      </w:r>
      <w:r>
        <w:rPr>
          <w:rFonts w:hint="eastAsia" w:ascii="微软雅黑" w:hAnsi="微软雅黑" w:eastAsia="微软雅黑"/>
          <w:sz w:val="24"/>
          <w:szCs w:val="24"/>
        </w:rPr>
        <w:t>通过前端</w:t>
      </w:r>
      <w:r>
        <w:rPr>
          <w:rFonts w:ascii="微软雅黑" w:hAnsi="微软雅黑" w:eastAsia="微软雅黑"/>
          <w:sz w:val="24"/>
          <w:szCs w:val="24"/>
        </w:rPr>
        <w:t>业务系统数据接口接收</w:t>
      </w:r>
      <w:r>
        <w:rPr>
          <w:rFonts w:hint="eastAsia" w:ascii="微软雅黑" w:hAnsi="微软雅黑" w:eastAsia="微软雅黑"/>
          <w:sz w:val="24"/>
          <w:szCs w:val="24"/>
        </w:rPr>
        <w:t>前端</w:t>
      </w:r>
      <w:r>
        <w:rPr>
          <w:rFonts w:ascii="微软雅黑" w:hAnsi="微软雅黑" w:eastAsia="微软雅黑"/>
          <w:sz w:val="24"/>
          <w:szCs w:val="24"/>
        </w:rPr>
        <w:t>业务系统的收入数据形成门诊、住院应收信息。接收</w:t>
      </w:r>
      <w:r>
        <w:rPr>
          <w:rFonts w:hint="eastAsia" w:ascii="微软雅黑" w:hAnsi="微软雅黑" w:eastAsia="微软雅黑"/>
          <w:sz w:val="24"/>
          <w:szCs w:val="24"/>
        </w:rPr>
        <w:t>前端</w:t>
      </w:r>
      <w:r>
        <w:rPr>
          <w:rFonts w:ascii="微软雅黑" w:hAnsi="微软雅黑" w:eastAsia="微软雅黑"/>
          <w:sz w:val="24"/>
          <w:szCs w:val="24"/>
        </w:rPr>
        <w:t>业务系统已结账和未结账信息，自动核对</w:t>
      </w:r>
      <w:r>
        <w:rPr>
          <w:rFonts w:hint="eastAsia" w:ascii="微软雅黑" w:hAnsi="微软雅黑" w:eastAsia="微软雅黑"/>
          <w:sz w:val="24"/>
          <w:szCs w:val="24"/>
        </w:rPr>
        <w:t>前端</w:t>
      </w:r>
      <w:r>
        <w:rPr>
          <w:rFonts w:ascii="微软雅黑" w:hAnsi="微软雅黑" w:eastAsia="微软雅黑"/>
          <w:sz w:val="24"/>
          <w:szCs w:val="24"/>
        </w:rPr>
        <w:t>业务系统应收信息。应收会计确认后自动导入系统形成财务应收信息</w:t>
      </w:r>
      <w:r>
        <w:rPr>
          <w:rFonts w:hint="eastAsia" w:ascii="微软雅黑" w:hAnsi="微软雅黑" w:eastAsia="微软雅黑"/>
          <w:sz w:val="24"/>
          <w:szCs w:val="24"/>
        </w:rPr>
        <w:t>，并自动生成凭证。</w:t>
      </w:r>
    </w:p>
    <w:p>
      <w:pPr>
        <w:pStyle w:val="8"/>
        <w:widowControl w:val="0"/>
        <w:numPr>
          <w:ilvl w:val="0"/>
          <w:numId w:val="15"/>
        </w:numPr>
        <w:spacing w:before="0" w:after="0" w:line="360" w:lineRule="auto"/>
        <w:contextualSpacing w:val="0"/>
        <w:jc w:val="both"/>
        <w:rPr>
          <w:rFonts w:ascii="微软雅黑" w:hAnsi="微软雅黑" w:eastAsia="微软雅黑"/>
          <w:sz w:val="24"/>
          <w:szCs w:val="24"/>
        </w:rPr>
      </w:pPr>
      <w:r>
        <w:rPr>
          <w:rFonts w:hint="eastAsia" w:ascii="微软雅黑" w:hAnsi="微软雅黑" w:eastAsia="微软雅黑"/>
          <w:sz w:val="24"/>
          <w:szCs w:val="24"/>
        </w:rPr>
        <w:t xml:space="preserve">包含预交金，可以按照收费员或者按照明细进行汇总，并能生成对应的凭证。 </w:t>
      </w:r>
    </w:p>
    <w:p>
      <w:pPr>
        <w:pStyle w:val="8"/>
        <w:widowControl w:val="0"/>
        <w:numPr>
          <w:ilvl w:val="0"/>
          <w:numId w:val="15"/>
        </w:numPr>
        <w:spacing w:before="0" w:after="0" w:line="360" w:lineRule="auto"/>
        <w:contextualSpacing w:val="0"/>
        <w:jc w:val="both"/>
        <w:rPr>
          <w:rFonts w:ascii="微软雅黑" w:hAnsi="微软雅黑" w:eastAsia="微软雅黑"/>
          <w:sz w:val="24"/>
          <w:szCs w:val="24"/>
        </w:rPr>
      </w:pPr>
      <w:r>
        <w:rPr>
          <w:rFonts w:hint="eastAsia" w:ascii="微软雅黑" w:hAnsi="微软雅黑" w:eastAsia="微软雅黑"/>
          <w:sz w:val="24"/>
          <w:szCs w:val="24"/>
        </w:rPr>
        <w:t xml:space="preserve">门诊收费，可以按照科室或者按照收费员进行汇总，并对应生成相应的凭证。 </w:t>
      </w:r>
    </w:p>
    <w:p>
      <w:pPr>
        <w:pStyle w:val="8"/>
        <w:widowControl w:val="0"/>
        <w:numPr>
          <w:ilvl w:val="0"/>
          <w:numId w:val="15"/>
        </w:numPr>
        <w:spacing w:before="0" w:after="0" w:line="360" w:lineRule="auto"/>
        <w:contextualSpacing w:val="0"/>
        <w:jc w:val="both"/>
        <w:rPr>
          <w:rFonts w:ascii="微软雅黑" w:hAnsi="微软雅黑" w:eastAsia="微软雅黑"/>
          <w:sz w:val="24"/>
          <w:szCs w:val="24"/>
        </w:rPr>
      </w:pPr>
      <w:r>
        <w:rPr>
          <w:rFonts w:hint="eastAsia" w:ascii="微软雅黑" w:hAnsi="微软雅黑" w:eastAsia="微软雅黑"/>
          <w:sz w:val="24"/>
          <w:szCs w:val="24"/>
        </w:rPr>
        <w:t>住院应收，按日期、按科室进行汇总</w:t>
      </w:r>
    </w:p>
    <w:p>
      <w:pPr>
        <w:pStyle w:val="8"/>
        <w:widowControl w:val="0"/>
        <w:numPr>
          <w:ilvl w:val="0"/>
          <w:numId w:val="15"/>
        </w:numPr>
        <w:spacing w:before="0" w:after="0" w:line="360" w:lineRule="auto"/>
        <w:contextualSpacing w:val="0"/>
        <w:jc w:val="both"/>
        <w:rPr>
          <w:rFonts w:ascii="微软雅黑" w:hAnsi="微软雅黑" w:eastAsia="微软雅黑"/>
          <w:sz w:val="24"/>
          <w:szCs w:val="24"/>
        </w:rPr>
      </w:pPr>
      <w:r>
        <w:rPr>
          <w:rFonts w:hint="eastAsia" w:ascii="微软雅黑" w:hAnsi="微软雅黑" w:eastAsia="微软雅黑"/>
          <w:sz w:val="24"/>
          <w:szCs w:val="24"/>
        </w:rPr>
        <w:t>住院结算数据，可以按照收费员或者收费明细查询，对应记录可生成相应凭证</w:t>
      </w:r>
    </w:p>
    <w:p>
      <w:pPr>
        <w:pStyle w:val="8"/>
        <w:widowControl w:val="0"/>
        <w:numPr>
          <w:ilvl w:val="0"/>
          <w:numId w:val="13"/>
        </w:numPr>
        <w:spacing w:before="0" w:after="0" w:line="360" w:lineRule="auto"/>
        <w:contextualSpacing w:val="0"/>
        <w:jc w:val="both"/>
        <w:rPr>
          <w:rFonts w:ascii="微软雅黑" w:hAnsi="微软雅黑" w:eastAsia="微软雅黑" w:cs="微软雅黑"/>
          <w:b/>
          <w:sz w:val="24"/>
          <w:szCs w:val="24"/>
        </w:rPr>
      </w:pPr>
      <w:r>
        <w:rPr>
          <w:rFonts w:hint="eastAsia" w:ascii="微软雅黑" w:hAnsi="微软雅黑" w:eastAsia="微软雅黑" w:cs="微软雅黑"/>
          <w:b/>
          <w:sz w:val="24"/>
          <w:szCs w:val="24"/>
        </w:rPr>
        <w:t>科目初始账</w:t>
      </w:r>
    </w:p>
    <w:p>
      <w:pPr>
        <w:spacing w:line="360" w:lineRule="auto"/>
        <w:ind w:firstLine="480" w:firstLineChars="200"/>
        <w:rPr>
          <w:rFonts w:ascii="微软雅黑" w:hAnsi="微软雅黑" w:eastAsia="微软雅黑"/>
          <w:sz w:val="24"/>
          <w:szCs w:val="24"/>
        </w:rPr>
      </w:pPr>
      <w:r>
        <w:rPr>
          <w:rFonts w:hint="eastAsia" w:ascii="微软雅黑" w:hAnsi="微软雅黑" w:eastAsia="微软雅黑"/>
          <w:sz w:val="24"/>
          <w:szCs w:val="24"/>
        </w:rPr>
        <w:t>科目初始账可以进行数据初始化，试算平衡</w:t>
      </w:r>
    </w:p>
    <w:p>
      <w:pPr>
        <w:pStyle w:val="8"/>
        <w:widowControl w:val="0"/>
        <w:numPr>
          <w:ilvl w:val="0"/>
          <w:numId w:val="13"/>
        </w:numPr>
        <w:spacing w:before="0" w:after="0" w:line="360" w:lineRule="auto"/>
        <w:contextualSpacing w:val="0"/>
        <w:jc w:val="both"/>
        <w:rPr>
          <w:rFonts w:ascii="微软雅黑" w:hAnsi="微软雅黑" w:eastAsia="微软雅黑" w:cs="微软雅黑"/>
          <w:b/>
          <w:sz w:val="24"/>
          <w:szCs w:val="24"/>
        </w:rPr>
      </w:pPr>
      <w:r>
        <w:rPr>
          <w:rFonts w:hint="eastAsia" w:ascii="微软雅黑" w:hAnsi="微软雅黑" w:eastAsia="微软雅黑" w:cs="微软雅黑"/>
          <w:b/>
          <w:sz w:val="24"/>
          <w:szCs w:val="24"/>
        </w:rPr>
        <w:t>账簿</w:t>
      </w:r>
    </w:p>
    <w:p>
      <w:pPr>
        <w:spacing w:line="360" w:lineRule="auto"/>
        <w:rPr>
          <w:rFonts w:ascii="微软雅黑" w:hAnsi="微软雅黑" w:eastAsia="微软雅黑"/>
          <w:sz w:val="24"/>
          <w:szCs w:val="24"/>
        </w:rPr>
      </w:pPr>
      <w:r>
        <w:rPr>
          <w:rFonts w:hint="eastAsia" w:ascii="宋体" w:hAnsi="宋体"/>
          <w:sz w:val="24"/>
          <w:szCs w:val="24"/>
        </w:rPr>
        <w:t xml:space="preserve">    </w:t>
      </w:r>
      <w:r>
        <w:rPr>
          <w:rFonts w:hint="eastAsia" w:ascii="微软雅黑" w:hAnsi="微软雅黑" w:eastAsia="微软雅黑"/>
          <w:sz w:val="24"/>
          <w:szCs w:val="24"/>
        </w:rPr>
        <w:t>提供包括三栏式总账、三栏式明细账等各种账簿的查询。通过提供科目辅助核算及多种账表查询功能，支持多维度的专项核算与管理，满足医院对内报告和细化核算的要求。</w:t>
      </w:r>
    </w:p>
    <w:p>
      <w:pPr>
        <w:spacing w:line="360" w:lineRule="auto"/>
        <w:ind w:firstLine="480" w:firstLineChars="200"/>
        <w:rPr>
          <w:rFonts w:ascii="微软雅黑" w:hAnsi="微软雅黑" w:eastAsia="微软雅黑"/>
          <w:sz w:val="24"/>
          <w:szCs w:val="24"/>
        </w:rPr>
      </w:pPr>
      <w:r>
        <w:rPr>
          <w:rFonts w:hint="eastAsia" w:ascii="微软雅黑" w:hAnsi="微软雅黑" w:eastAsia="微软雅黑"/>
          <w:sz w:val="24"/>
          <w:szCs w:val="24"/>
        </w:rPr>
        <w:t xml:space="preserve">科目余额表等汇总帐表，可以根据汇总金额联查科目明细、总账及辅助账。 </w:t>
      </w:r>
    </w:p>
    <w:p>
      <w:pPr>
        <w:spacing w:line="360" w:lineRule="auto"/>
        <w:ind w:firstLine="480" w:firstLineChars="200"/>
        <w:rPr>
          <w:rFonts w:ascii="微软雅黑" w:hAnsi="微软雅黑" w:eastAsia="微软雅黑"/>
          <w:sz w:val="24"/>
          <w:szCs w:val="24"/>
        </w:rPr>
      </w:pPr>
      <w:r>
        <w:rPr>
          <w:rFonts w:hint="eastAsia" w:ascii="微软雅黑" w:hAnsi="微软雅黑" w:eastAsia="微软雅黑"/>
          <w:sz w:val="24"/>
          <w:szCs w:val="24"/>
        </w:rPr>
        <w:t>辅助核算项账，另外包括细化的部门核算账、部门核算明细账等。</w:t>
      </w:r>
    </w:p>
    <w:p>
      <w:pPr>
        <w:pStyle w:val="8"/>
        <w:widowControl w:val="0"/>
        <w:numPr>
          <w:ilvl w:val="0"/>
          <w:numId w:val="13"/>
        </w:numPr>
        <w:spacing w:before="0" w:after="0" w:line="360" w:lineRule="auto"/>
        <w:contextualSpacing w:val="0"/>
        <w:jc w:val="both"/>
        <w:rPr>
          <w:rFonts w:ascii="微软雅黑" w:hAnsi="微软雅黑" w:eastAsia="微软雅黑" w:cs="微软雅黑"/>
          <w:b/>
          <w:sz w:val="24"/>
          <w:szCs w:val="24"/>
        </w:rPr>
      </w:pPr>
      <w:r>
        <w:rPr>
          <w:rFonts w:hint="eastAsia" w:ascii="微软雅黑" w:hAnsi="微软雅黑" w:eastAsia="微软雅黑" w:cs="微软雅黑"/>
          <w:b/>
          <w:sz w:val="24"/>
          <w:szCs w:val="24"/>
        </w:rPr>
        <w:t>备查薄</w:t>
      </w:r>
    </w:p>
    <w:p>
      <w:pPr>
        <w:spacing w:line="360" w:lineRule="auto"/>
        <w:ind w:firstLine="480" w:firstLineChars="200"/>
        <w:rPr>
          <w:rFonts w:ascii="微软雅黑" w:hAnsi="微软雅黑" w:eastAsia="微软雅黑"/>
          <w:sz w:val="24"/>
          <w:szCs w:val="24"/>
        </w:rPr>
      </w:pPr>
      <w:r>
        <w:rPr>
          <w:rFonts w:hint="eastAsia" w:ascii="微软雅黑" w:hAnsi="微软雅黑" w:eastAsia="微软雅黑"/>
          <w:sz w:val="24"/>
          <w:szCs w:val="24"/>
        </w:rPr>
        <w:t>按照政府会计制度要求预置借入租入固定资产备查簿、应付票据备查簿、应收票据备查簿、公共基础设施备查簿、文物文化资产备查簿、罚没物资备查簿、应收类备查簿、应付账款备查簿，并按照制度要求进行登记、记账、核销处理。</w:t>
      </w:r>
    </w:p>
    <w:p>
      <w:pPr>
        <w:pStyle w:val="10"/>
        <w:numPr>
          <w:ilvl w:val="0"/>
          <w:numId w:val="12"/>
        </w:numPr>
        <w:rPr>
          <w:rFonts w:ascii="微软雅黑" w:hAnsi="微软雅黑" w:eastAsia="微软雅黑"/>
          <w:b/>
          <w:sz w:val="24"/>
          <w:szCs w:val="24"/>
        </w:rPr>
      </w:pPr>
      <w:bookmarkStart w:id="35" w:name="_Toc28736"/>
      <w:bookmarkStart w:id="36" w:name="_Toc523486788"/>
      <w:r>
        <w:rPr>
          <w:rFonts w:hint="eastAsia" w:ascii="微软雅黑" w:hAnsi="微软雅黑" w:eastAsia="微软雅黑"/>
          <w:b/>
          <w:sz w:val="24"/>
          <w:szCs w:val="24"/>
        </w:rPr>
        <w:t>票据管理</w:t>
      </w:r>
      <w:bookmarkEnd w:id="35"/>
      <w:bookmarkEnd w:id="36"/>
    </w:p>
    <w:p>
      <w:pPr>
        <w:spacing w:line="360" w:lineRule="auto"/>
        <w:ind w:firstLine="480" w:firstLineChars="200"/>
        <w:rPr>
          <w:rFonts w:ascii="微软雅黑" w:hAnsi="微软雅黑" w:eastAsia="微软雅黑"/>
          <w:sz w:val="24"/>
          <w:szCs w:val="24"/>
        </w:rPr>
      </w:pPr>
      <w:r>
        <w:rPr>
          <w:rFonts w:hint="eastAsia" w:ascii="微软雅黑" w:hAnsi="微软雅黑" w:eastAsia="微软雅黑"/>
          <w:sz w:val="24"/>
          <w:szCs w:val="24"/>
        </w:rPr>
        <w:t>能够高效的、准确的完成这些繁重的票据管理工作，极大地方便了财务人员对票据的管理工作，按照医院在财务业务中不同票据类型的管理方式和流程所设计，提供支票管理、进账单、收费票据、银行电汇、电子发票、应付票据的管理等业务功能。</w:t>
      </w:r>
    </w:p>
    <w:p>
      <w:pPr>
        <w:pStyle w:val="8"/>
        <w:widowControl w:val="0"/>
        <w:numPr>
          <w:ilvl w:val="0"/>
          <w:numId w:val="16"/>
        </w:numPr>
        <w:spacing w:before="0" w:after="0" w:line="360" w:lineRule="auto"/>
        <w:contextualSpacing w:val="0"/>
        <w:jc w:val="both"/>
        <w:rPr>
          <w:rFonts w:ascii="微软雅黑" w:hAnsi="微软雅黑" w:eastAsia="微软雅黑"/>
          <w:sz w:val="24"/>
          <w:szCs w:val="24"/>
        </w:rPr>
      </w:pPr>
      <w:r>
        <w:rPr>
          <w:rFonts w:hint="eastAsia" w:ascii="微软雅黑" w:hAnsi="微软雅黑" w:eastAsia="微软雅黑"/>
          <w:sz w:val="24"/>
          <w:szCs w:val="24"/>
        </w:rPr>
        <w:t>支票的单张和批量登记、领用、核销、作废，支票簿的查询；</w:t>
      </w:r>
    </w:p>
    <w:p>
      <w:pPr>
        <w:pStyle w:val="8"/>
        <w:widowControl w:val="0"/>
        <w:numPr>
          <w:ilvl w:val="0"/>
          <w:numId w:val="16"/>
        </w:numPr>
        <w:spacing w:before="0" w:after="0" w:line="360" w:lineRule="auto"/>
        <w:contextualSpacing w:val="0"/>
        <w:jc w:val="both"/>
        <w:rPr>
          <w:rFonts w:ascii="微软雅黑" w:hAnsi="微软雅黑" w:eastAsia="微软雅黑"/>
          <w:sz w:val="24"/>
          <w:szCs w:val="24"/>
        </w:rPr>
      </w:pPr>
      <w:r>
        <w:rPr>
          <w:rFonts w:hint="eastAsia" w:ascii="微软雅黑" w:hAnsi="微软雅黑" w:eastAsia="微软雅黑"/>
          <w:sz w:val="24"/>
          <w:szCs w:val="24"/>
        </w:rPr>
        <w:t>收费票据的登记、领用、核销、作废，收费员统计表，票据套打；</w:t>
      </w:r>
    </w:p>
    <w:p>
      <w:pPr>
        <w:pStyle w:val="8"/>
        <w:widowControl w:val="0"/>
        <w:numPr>
          <w:ilvl w:val="0"/>
          <w:numId w:val="16"/>
        </w:numPr>
        <w:spacing w:before="0" w:after="0" w:line="360" w:lineRule="auto"/>
        <w:contextualSpacing w:val="0"/>
        <w:jc w:val="both"/>
        <w:rPr>
          <w:rFonts w:ascii="微软雅黑" w:hAnsi="微软雅黑" w:eastAsia="微软雅黑"/>
          <w:sz w:val="24"/>
          <w:szCs w:val="24"/>
        </w:rPr>
      </w:pPr>
      <w:r>
        <w:rPr>
          <w:rFonts w:hint="eastAsia" w:ascii="微软雅黑" w:hAnsi="微软雅黑" w:eastAsia="微软雅黑"/>
          <w:sz w:val="24"/>
          <w:szCs w:val="24"/>
        </w:rPr>
        <w:t>电汇凭证登记、查询等，单据套打；</w:t>
      </w:r>
    </w:p>
    <w:p>
      <w:pPr>
        <w:pStyle w:val="8"/>
        <w:widowControl w:val="0"/>
        <w:numPr>
          <w:ilvl w:val="0"/>
          <w:numId w:val="16"/>
        </w:numPr>
        <w:spacing w:before="0" w:after="0" w:line="360" w:lineRule="auto"/>
        <w:contextualSpacing w:val="0"/>
        <w:jc w:val="both"/>
        <w:rPr>
          <w:rFonts w:ascii="微软雅黑" w:hAnsi="微软雅黑" w:eastAsia="微软雅黑"/>
          <w:sz w:val="24"/>
          <w:szCs w:val="24"/>
        </w:rPr>
      </w:pPr>
      <w:r>
        <w:rPr>
          <w:rFonts w:hint="eastAsia" w:ascii="微软雅黑" w:hAnsi="微软雅黑" w:eastAsia="微软雅黑"/>
          <w:sz w:val="24"/>
          <w:szCs w:val="24"/>
        </w:rPr>
        <w:t>进账单的录入、审核管理，可以根据不同的银行类别配置不同的进账单打印模板。</w:t>
      </w:r>
    </w:p>
    <w:p>
      <w:pPr>
        <w:pStyle w:val="10"/>
        <w:numPr>
          <w:ilvl w:val="0"/>
          <w:numId w:val="12"/>
        </w:numPr>
        <w:rPr>
          <w:rFonts w:ascii="微软雅黑" w:hAnsi="微软雅黑" w:eastAsia="微软雅黑"/>
          <w:b/>
          <w:sz w:val="24"/>
          <w:szCs w:val="24"/>
        </w:rPr>
      </w:pPr>
      <w:bookmarkStart w:id="37" w:name="_Toc1772"/>
      <w:bookmarkStart w:id="38" w:name="_Toc523486789"/>
      <w:r>
        <w:rPr>
          <w:rFonts w:hint="eastAsia" w:ascii="微软雅黑" w:hAnsi="微软雅黑" w:eastAsia="微软雅黑"/>
          <w:b/>
          <w:sz w:val="24"/>
          <w:szCs w:val="24"/>
        </w:rPr>
        <w:t>薪酬发放</w:t>
      </w:r>
      <w:bookmarkEnd w:id="37"/>
      <w:bookmarkEnd w:id="38"/>
    </w:p>
    <w:p>
      <w:pPr>
        <w:pStyle w:val="11"/>
        <w:rPr>
          <w:rFonts w:ascii="微软雅黑" w:hAnsi="微软雅黑" w:eastAsia="微软雅黑"/>
          <w:color w:val="000000"/>
          <w:szCs w:val="24"/>
        </w:rPr>
      </w:pPr>
      <w:r>
        <w:rPr>
          <w:rFonts w:hint="eastAsia" w:ascii="微软雅黑" w:hAnsi="微软雅黑" w:eastAsia="微软雅黑"/>
          <w:color w:val="000000"/>
          <w:szCs w:val="24"/>
        </w:rPr>
        <w:t>包括薪资核算、发放、计算、查询功能，内置各种薪资标准，根据职工信息自动核算出薪资数据。</w:t>
      </w:r>
    </w:p>
    <w:p>
      <w:pPr>
        <w:pStyle w:val="11"/>
        <w:numPr>
          <w:ilvl w:val="0"/>
          <w:numId w:val="17"/>
        </w:numPr>
        <w:ind w:firstLineChars="0"/>
        <w:rPr>
          <w:rFonts w:ascii="微软雅黑" w:hAnsi="微软雅黑" w:eastAsia="微软雅黑"/>
          <w:color w:val="000000"/>
          <w:szCs w:val="24"/>
        </w:rPr>
      </w:pPr>
      <w:r>
        <w:rPr>
          <w:rFonts w:hint="eastAsia" w:ascii="微软雅黑" w:hAnsi="微软雅黑" w:eastAsia="微软雅黑"/>
          <w:color w:val="000000"/>
          <w:szCs w:val="24"/>
        </w:rPr>
        <w:t>支持固定工资生成，固定工资补发补扣。</w:t>
      </w:r>
    </w:p>
    <w:p>
      <w:pPr>
        <w:pStyle w:val="11"/>
        <w:numPr>
          <w:ilvl w:val="0"/>
          <w:numId w:val="17"/>
        </w:numPr>
        <w:ind w:firstLineChars="0"/>
        <w:rPr>
          <w:rFonts w:ascii="微软雅黑" w:hAnsi="微软雅黑" w:eastAsia="微软雅黑"/>
          <w:color w:val="000000"/>
          <w:szCs w:val="24"/>
        </w:rPr>
      </w:pPr>
      <w:r>
        <w:rPr>
          <w:rFonts w:hint="eastAsia" w:ascii="微软雅黑" w:hAnsi="微软雅黑" w:eastAsia="微软雅黑"/>
          <w:color w:val="000000"/>
          <w:szCs w:val="24"/>
        </w:rPr>
        <w:t>变动工资支持跨单位、跨科室的处理，支持多次发放。</w:t>
      </w:r>
    </w:p>
    <w:p>
      <w:pPr>
        <w:pStyle w:val="11"/>
        <w:numPr>
          <w:ilvl w:val="0"/>
          <w:numId w:val="17"/>
        </w:numPr>
        <w:ind w:firstLineChars="0"/>
        <w:rPr>
          <w:rFonts w:ascii="微软雅黑" w:hAnsi="微软雅黑" w:eastAsia="微软雅黑"/>
          <w:color w:val="000000"/>
          <w:szCs w:val="24"/>
        </w:rPr>
      </w:pPr>
      <w:r>
        <w:rPr>
          <w:rFonts w:hint="eastAsia" w:ascii="微软雅黑" w:hAnsi="微软雅黑" w:eastAsia="微软雅黑"/>
          <w:color w:val="000000"/>
          <w:szCs w:val="24"/>
        </w:rPr>
        <w:t>自动计算个税，支持在职、劳务、外籍、年终一次性绩效的个税计算。</w:t>
      </w:r>
    </w:p>
    <w:p>
      <w:pPr>
        <w:pStyle w:val="11"/>
        <w:numPr>
          <w:ilvl w:val="0"/>
          <w:numId w:val="17"/>
        </w:numPr>
        <w:ind w:firstLineChars="0"/>
        <w:rPr>
          <w:rFonts w:ascii="微软雅黑" w:hAnsi="微软雅黑" w:eastAsia="微软雅黑"/>
          <w:color w:val="000000"/>
          <w:szCs w:val="24"/>
        </w:rPr>
      </w:pPr>
      <w:r>
        <w:rPr>
          <w:rFonts w:hint="eastAsia" w:ascii="微软雅黑" w:hAnsi="微软雅黑" w:eastAsia="微软雅黑"/>
          <w:color w:val="000000"/>
          <w:szCs w:val="24"/>
        </w:rPr>
        <w:t>准确核算薪酬发放、薪酬成本。</w:t>
      </w:r>
    </w:p>
    <w:p>
      <w:pPr>
        <w:pStyle w:val="11"/>
        <w:numPr>
          <w:ilvl w:val="0"/>
          <w:numId w:val="17"/>
        </w:numPr>
        <w:ind w:firstLineChars="0"/>
        <w:rPr>
          <w:rFonts w:ascii="微软雅黑" w:hAnsi="微软雅黑" w:eastAsia="微软雅黑"/>
          <w:color w:val="000000"/>
          <w:szCs w:val="24"/>
        </w:rPr>
      </w:pPr>
      <w:r>
        <w:rPr>
          <w:rFonts w:hint="eastAsia" w:ascii="微软雅黑" w:hAnsi="微软雅黑" w:eastAsia="微软雅黑"/>
          <w:color w:val="000000"/>
          <w:szCs w:val="24"/>
        </w:rPr>
        <w:t>所有数据都是单据化处理，支持审批流程，加强薪酬核算的内控处理，为医院提供一个简便、易用的薪酬计算和发放的管理工具。</w:t>
      </w:r>
    </w:p>
    <w:p>
      <w:pPr>
        <w:pStyle w:val="11"/>
        <w:numPr>
          <w:ilvl w:val="0"/>
          <w:numId w:val="17"/>
        </w:numPr>
        <w:ind w:firstLineChars="0"/>
        <w:rPr>
          <w:rFonts w:ascii="微软雅黑" w:hAnsi="微软雅黑" w:eastAsia="微软雅黑"/>
          <w:color w:val="000000"/>
          <w:szCs w:val="24"/>
        </w:rPr>
      </w:pPr>
      <w:r>
        <w:rPr>
          <w:rFonts w:hint="eastAsia" w:ascii="微软雅黑" w:hAnsi="微软雅黑" w:eastAsia="微软雅黑"/>
          <w:color w:val="000000"/>
          <w:szCs w:val="24"/>
        </w:rPr>
        <w:t>通过薪酬数据的有效分析，提高医院对人力资源支出成本的管理水平，为医院管理提供必要数据基础。</w:t>
      </w:r>
    </w:p>
    <w:p>
      <w:pPr>
        <w:pStyle w:val="11"/>
        <w:numPr>
          <w:ilvl w:val="0"/>
          <w:numId w:val="17"/>
        </w:numPr>
        <w:ind w:firstLineChars="0"/>
        <w:rPr>
          <w:rFonts w:ascii="微软雅黑" w:hAnsi="微软雅黑" w:eastAsia="微软雅黑"/>
          <w:color w:val="000000"/>
          <w:szCs w:val="24"/>
        </w:rPr>
      </w:pPr>
      <w:r>
        <w:rPr>
          <w:rFonts w:hint="eastAsia" w:ascii="微软雅黑" w:hAnsi="微软雅黑" w:eastAsia="微软雅黑"/>
          <w:color w:val="000000"/>
          <w:szCs w:val="24"/>
        </w:rPr>
        <w:t>实现薪酬的发放、成本与会计账务处理的一条龙业务整合。</w:t>
      </w:r>
    </w:p>
    <w:p>
      <w:pPr>
        <w:pStyle w:val="10"/>
        <w:numPr>
          <w:ilvl w:val="0"/>
          <w:numId w:val="12"/>
        </w:numPr>
        <w:rPr>
          <w:rFonts w:ascii="微软雅黑" w:hAnsi="微软雅黑" w:eastAsia="微软雅黑"/>
          <w:b/>
          <w:sz w:val="24"/>
          <w:szCs w:val="24"/>
        </w:rPr>
      </w:pPr>
      <w:bookmarkStart w:id="39" w:name="_Toc19039"/>
      <w:bookmarkStart w:id="40" w:name="_Toc523486790"/>
      <w:r>
        <w:rPr>
          <w:rFonts w:hint="eastAsia" w:ascii="微软雅黑" w:hAnsi="微软雅黑" w:eastAsia="微软雅黑"/>
          <w:b/>
          <w:sz w:val="24"/>
          <w:szCs w:val="24"/>
        </w:rPr>
        <w:t>往来管理</w:t>
      </w:r>
      <w:bookmarkEnd w:id="39"/>
      <w:bookmarkEnd w:id="40"/>
    </w:p>
    <w:p>
      <w:pPr>
        <w:pStyle w:val="11"/>
        <w:rPr>
          <w:rFonts w:ascii="微软雅黑" w:hAnsi="微软雅黑" w:eastAsia="微软雅黑"/>
          <w:color w:val="000000"/>
          <w:szCs w:val="24"/>
        </w:rPr>
      </w:pPr>
      <w:r>
        <w:rPr>
          <w:rFonts w:hint="eastAsia" w:ascii="微软雅黑" w:hAnsi="微软雅黑" w:eastAsia="微软雅黑"/>
          <w:color w:val="000000"/>
          <w:szCs w:val="24"/>
        </w:rPr>
        <w:t>主要反映医院与供应商、客户、职工、科室之间的资金往来情况，包括应收、应付款项的登记、核销、账龄分析和往来核销明细查询和核销清册数据，根据应收数据生成往来催款单；提供应付票据的登记、核销及应付票据备查簿；并能够根据会计制度规定的坏账提取范围和方法自动提取坏账准备。</w:t>
      </w:r>
    </w:p>
    <w:p>
      <w:pPr>
        <w:spacing w:line="360" w:lineRule="auto"/>
        <w:ind w:firstLine="480" w:firstLineChars="200"/>
        <w:rPr>
          <w:rFonts w:ascii="微软雅黑" w:hAnsi="微软雅黑" w:eastAsia="微软雅黑"/>
          <w:sz w:val="24"/>
          <w:szCs w:val="24"/>
        </w:rPr>
      </w:pPr>
      <w:r>
        <w:rPr>
          <w:rFonts w:hint="eastAsia" w:ascii="微软雅黑" w:hAnsi="微软雅黑" w:eastAsia="微软雅黑"/>
          <w:sz w:val="24"/>
          <w:szCs w:val="24"/>
        </w:rPr>
        <w:t>往来管理主要包括应收账款和应付账款的管理。</w:t>
      </w:r>
    </w:p>
    <w:p>
      <w:pPr>
        <w:spacing w:line="360" w:lineRule="auto"/>
        <w:ind w:firstLine="480" w:firstLineChars="200"/>
        <w:rPr>
          <w:rFonts w:ascii="微软雅黑" w:hAnsi="微软雅黑" w:eastAsia="微软雅黑"/>
          <w:sz w:val="24"/>
          <w:szCs w:val="24"/>
        </w:rPr>
      </w:pPr>
      <w:r>
        <w:rPr>
          <w:rFonts w:hint="eastAsia" w:ascii="微软雅黑" w:hAnsi="微软雅黑" w:eastAsia="微软雅黑"/>
          <w:sz w:val="24"/>
          <w:szCs w:val="24"/>
        </w:rPr>
        <w:t>应收账款是医院与其他单位或个人之间因医疗服务或者其他商品及服务的销售而发生的债权，主要</w:t>
      </w:r>
      <w:r>
        <w:rPr>
          <w:rFonts w:ascii="微软雅黑" w:hAnsi="微软雅黑" w:eastAsia="微软雅黑"/>
          <w:sz w:val="24"/>
          <w:szCs w:val="24"/>
        </w:rPr>
        <w:t>包括应收在院病人医疗款、应收医疗款、其他应收款、预付账款。</w:t>
      </w:r>
    </w:p>
    <w:p>
      <w:pPr>
        <w:pStyle w:val="8"/>
        <w:widowControl w:val="0"/>
        <w:numPr>
          <w:ilvl w:val="0"/>
          <w:numId w:val="18"/>
        </w:numPr>
        <w:spacing w:before="0" w:after="0" w:line="360" w:lineRule="auto"/>
        <w:contextualSpacing w:val="0"/>
        <w:jc w:val="both"/>
        <w:rPr>
          <w:rFonts w:ascii="微软雅黑" w:hAnsi="微软雅黑" w:eastAsia="微软雅黑"/>
          <w:sz w:val="24"/>
          <w:szCs w:val="24"/>
        </w:rPr>
      </w:pPr>
      <w:r>
        <w:rPr>
          <w:rFonts w:hint="eastAsia" w:ascii="微软雅黑" w:hAnsi="微软雅黑" w:eastAsia="微软雅黑"/>
          <w:sz w:val="24"/>
          <w:szCs w:val="24"/>
        </w:rPr>
        <w:t>往来初始账，定义期初的往来情况</w:t>
      </w:r>
    </w:p>
    <w:p>
      <w:pPr>
        <w:pStyle w:val="8"/>
        <w:widowControl w:val="0"/>
        <w:numPr>
          <w:ilvl w:val="0"/>
          <w:numId w:val="18"/>
        </w:numPr>
        <w:spacing w:before="0" w:after="0" w:line="360" w:lineRule="auto"/>
        <w:contextualSpacing w:val="0"/>
        <w:jc w:val="both"/>
        <w:rPr>
          <w:rFonts w:ascii="微软雅黑" w:hAnsi="微软雅黑" w:eastAsia="微软雅黑"/>
          <w:sz w:val="24"/>
          <w:szCs w:val="24"/>
        </w:rPr>
      </w:pPr>
      <w:r>
        <w:rPr>
          <w:rFonts w:hint="eastAsia" w:ascii="微软雅黑" w:hAnsi="微软雅黑" w:eastAsia="微软雅黑"/>
          <w:sz w:val="24"/>
          <w:szCs w:val="24"/>
        </w:rPr>
        <w:t>可以灵活设置账龄区间</w:t>
      </w:r>
    </w:p>
    <w:p>
      <w:pPr>
        <w:pStyle w:val="8"/>
        <w:widowControl w:val="0"/>
        <w:numPr>
          <w:ilvl w:val="0"/>
          <w:numId w:val="18"/>
        </w:numPr>
        <w:spacing w:before="0" w:after="0" w:line="360" w:lineRule="auto"/>
        <w:contextualSpacing w:val="0"/>
        <w:jc w:val="both"/>
        <w:rPr>
          <w:rFonts w:ascii="微软雅黑" w:hAnsi="微软雅黑" w:eastAsia="微软雅黑"/>
          <w:sz w:val="24"/>
          <w:szCs w:val="24"/>
        </w:rPr>
      </w:pPr>
      <w:r>
        <w:rPr>
          <w:rFonts w:hint="eastAsia" w:ascii="微软雅黑" w:hAnsi="微软雅黑" w:eastAsia="微软雅黑"/>
          <w:sz w:val="24"/>
          <w:szCs w:val="24"/>
        </w:rPr>
        <w:t>往来集中自动核销</w:t>
      </w:r>
    </w:p>
    <w:p>
      <w:pPr>
        <w:pStyle w:val="8"/>
        <w:widowControl w:val="0"/>
        <w:numPr>
          <w:ilvl w:val="0"/>
          <w:numId w:val="18"/>
        </w:numPr>
        <w:spacing w:before="0" w:after="0" w:line="360" w:lineRule="auto"/>
        <w:contextualSpacing w:val="0"/>
        <w:jc w:val="both"/>
        <w:rPr>
          <w:rFonts w:ascii="微软雅黑" w:hAnsi="微软雅黑" w:eastAsia="微软雅黑"/>
          <w:sz w:val="24"/>
          <w:szCs w:val="24"/>
        </w:rPr>
      </w:pPr>
      <w:r>
        <w:rPr>
          <w:rFonts w:hint="eastAsia" w:ascii="微软雅黑" w:hAnsi="微软雅黑" w:eastAsia="微软雅黑"/>
          <w:sz w:val="24"/>
          <w:szCs w:val="24"/>
        </w:rPr>
        <w:t>账龄分析</w:t>
      </w:r>
    </w:p>
    <w:p>
      <w:pPr>
        <w:pStyle w:val="8"/>
        <w:widowControl w:val="0"/>
        <w:numPr>
          <w:ilvl w:val="0"/>
          <w:numId w:val="18"/>
        </w:numPr>
        <w:spacing w:before="0" w:after="0" w:line="360" w:lineRule="auto"/>
        <w:contextualSpacing w:val="0"/>
        <w:jc w:val="both"/>
        <w:rPr>
          <w:rFonts w:ascii="微软雅黑" w:hAnsi="微软雅黑" w:eastAsia="微软雅黑"/>
          <w:sz w:val="24"/>
          <w:szCs w:val="24"/>
        </w:rPr>
      </w:pPr>
      <w:r>
        <w:rPr>
          <w:rFonts w:hint="eastAsia" w:ascii="微软雅黑" w:hAnsi="微软雅黑" w:eastAsia="微软雅黑"/>
          <w:sz w:val="24"/>
          <w:szCs w:val="24"/>
        </w:rPr>
        <w:t>输出往来对账余额表、明细表、分析报表等，并提供预警功能。</w:t>
      </w:r>
    </w:p>
    <w:p>
      <w:pPr>
        <w:pStyle w:val="8"/>
        <w:widowControl w:val="0"/>
        <w:numPr>
          <w:ilvl w:val="0"/>
          <w:numId w:val="18"/>
        </w:numPr>
        <w:spacing w:before="0" w:after="0" w:line="360" w:lineRule="auto"/>
        <w:contextualSpacing w:val="0"/>
        <w:jc w:val="both"/>
        <w:rPr>
          <w:rFonts w:ascii="微软雅黑" w:hAnsi="微软雅黑" w:eastAsia="微软雅黑"/>
          <w:sz w:val="24"/>
          <w:szCs w:val="24"/>
        </w:rPr>
      </w:pPr>
      <w:r>
        <w:rPr>
          <w:rFonts w:hint="eastAsia" w:ascii="微软雅黑" w:hAnsi="微软雅黑" w:eastAsia="微软雅黑"/>
          <w:sz w:val="24"/>
          <w:szCs w:val="24"/>
        </w:rPr>
        <w:t>系统可根据往来业务情况生成往来对账余额表、明细表</w:t>
      </w:r>
    </w:p>
    <w:p>
      <w:pPr>
        <w:pStyle w:val="8"/>
        <w:widowControl w:val="0"/>
        <w:numPr>
          <w:ilvl w:val="0"/>
          <w:numId w:val="18"/>
        </w:numPr>
        <w:spacing w:before="0" w:after="0" w:line="360" w:lineRule="auto"/>
        <w:contextualSpacing w:val="0"/>
        <w:jc w:val="both"/>
        <w:rPr>
          <w:rFonts w:ascii="微软雅黑" w:hAnsi="微软雅黑" w:eastAsia="微软雅黑"/>
          <w:sz w:val="24"/>
          <w:szCs w:val="24"/>
        </w:rPr>
      </w:pPr>
      <w:r>
        <w:rPr>
          <w:rFonts w:hint="eastAsia" w:ascii="微软雅黑" w:hAnsi="微软雅黑" w:eastAsia="微软雅黑"/>
          <w:sz w:val="24"/>
          <w:szCs w:val="24"/>
        </w:rPr>
        <w:t>往来对账余额表</w:t>
      </w:r>
    </w:p>
    <w:p>
      <w:pPr>
        <w:pStyle w:val="8"/>
        <w:widowControl w:val="0"/>
        <w:numPr>
          <w:ilvl w:val="0"/>
          <w:numId w:val="18"/>
        </w:numPr>
        <w:spacing w:before="0" w:after="0" w:line="360" w:lineRule="auto"/>
        <w:contextualSpacing w:val="0"/>
        <w:jc w:val="both"/>
        <w:rPr>
          <w:rFonts w:ascii="微软雅黑" w:hAnsi="微软雅黑" w:eastAsia="微软雅黑"/>
          <w:sz w:val="24"/>
          <w:szCs w:val="24"/>
        </w:rPr>
      </w:pPr>
      <w:r>
        <w:rPr>
          <w:rFonts w:hint="eastAsia" w:ascii="微软雅黑" w:hAnsi="微软雅黑" w:eastAsia="微软雅黑"/>
          <w:sz w:val="24"/>
          <w:szCs w:val="24"/>
        </w:rPr>
        <w:t>应收账款的及时核对、结算，切实提高医院的运营效率。</w:t>
      </w:r>
    </w:p>
    <w:p>
      <w:pPr>
        <w:numPr>
          <w:ilvl w:val="0"/>
          <w:numId w:val="14"/>
        </w:numPr>
        <w:spacing w:line="360" w:lineRule="auto"/>
        <w:rPr>
          <w:rFonts w:ascii="微软雅黑" w:hAnsi="微软雅黑" w:eastAsia="微软雅黑"/>
          <w:sz w:val="24"/>
          <w:szCs w:val="24"/>
        </w:rPr>
      </w:pPr>
      <w:r>
        <w:rPr>
          <w:rFonts w:hint="eastAsia" w:ascii="微软雅黑" w:hAnsi="微软雅黑" w:eastAsia="微软雅黑"/>
          <w:sz w:val="24"/>
          <w:szCs w:val="24"/>
        </w:rPr>
        <w:t>根据应收费用的明细列表，系统可以自动生成相应的应收凭证。</w:t>
      </w:r>
    </w:p>
    <w:p>
      <w:pPr>
        <w:numPr>
          <w:ilvl w:val="0"/>
          <w:numId w:val="14"/>
        </w:numPr>
        <w:spacing w:line="360" w:lineRule="auto"/>
        <w:rPr>
          <w:rFonts w:ascii="微软雅黑" w:hAnsi="微软雅黑" w:eastAsia="微软雅黑"/>
          <w:sz w:val="24"/>
          <w:szCs w:val="24"/>
        </w:rPr>
      </w:pPr>
      <w:r>
        <w:rPr>
          <w:rFonts w:hint="eastAsia" w:ascii="微软雅黑" w:hAnsi="微软雅黑" w:eastAsia="微软雅黑"/>
          <w:sz w:val="24"/>
          <w:szCs w:val="24"/>
        </w:rPr>
        <w:t>与第三方系统对账</w:t>
      </w:r>
    </w:p>
    <w:p>
      <w:pPr>
        <w:spacing w:line="360" w:lineRule="auto"/>
        <w:ind w:left="480" w:firstLine="480" w:firstLineChars="200"/>
        <w:rPr>
          <w:rFonts w:ascii="微软雅黑" w:hAnsi="微软雅黑" w:eastAsia="微软雅黑"/>
          <w:sz w:val="24"/>
          <w:szCs w:val="24"/>
        </w:rPr>
      </w:pPr>
      <w:r>
        <w:rPr>
          <w:rFonts w:hint="eastAsia" w:ascii="微软雅黑" w:hAnsi="微软雅黑" w:eastAsia="微软雅黑"/>
          <w:sz w:val="24"/>
          <w:szCs w:val="24"/>
        </w:rPr>
        <w:t>应付账款是医院因购买库存物资、固定资产和接受服务供应等而应付给供应单位的款项。这些款项在未支付之前构成医院的一项负债，是买卖双方在购销活动过程中由于取得物资与支付货款在时间上的不一致而产生的。应付账款管理受到多方面因素的影响，医院应完善应付账款的管理，降低其风险，使医企都能正常健康发展。</w:t>
      </w:r>
    </w:p>
    <w:p>
      <w:pPr>
        <w:numPr>
          <w:ilvl w:val="0"/>
          <w:numId w:val="14"/>
        </w:numPr>
        <w:spacing w:line="360" w:lineRule="auto"/>
        <w:rPr>
          <w:rFonts w:ascii="微软雅黑" w:hAnsi="微软雅黑" w:eastAsia="微软雅黑"/>
          <w:sz w:val="24"/>
          <w:szCs w:val="24"/>
        </w:rPr>
      </w:pPr>
      <w:r>
        <w:rPr>
          <w:rFonts w:hint="eastAsia" w:ascii="微软雅黑" w:hAnsi="微软雅黑" w:eastAsia="微软雅黑"/>
          <w:sz w:val="24"/>
          <w:szCs w:val="24"/>
        </w:rPr>
        <w:t>业务对账，与固定资产、物资等系统的业务信息核对，以防止应付款项漏记或重复记账。还可以查询指定期间范围内的物流库存物资与会计科目明细账的核对。</w:t>
      </w:r>
    </w:p>
    <w:p>
      <w:pPr>
        <w:pStyle w:val="8"/>
        <w:widowControl w:val="0"/>
        <w:numPr>
          <w:ilvl w:val="0"/>
          <w:numId w:val="14"/>
        </w:numPr>
        <w:spacing w:before="0" w:after="0" w:line="360" w:lineRule="auto"/>
        <w:contextualSpacing w:val="0"/>
        <w:jc w:val="both"/>
        <w:rPr>
          <w:rFonts w:ascii="微软雅黑" w:hAnsi="微软雅黑" w:eastAsia="微软雅黑"/>
          <w:sz w:val="24"/>
          <w:szCs w:val="24"/>
        </w:rPr>
      </w:pPr>
      <w:r>
        <w:rPr>
          <w:rFonts w:hint="eastAsia" w:ascii="微软雅黑" w:hAnsi="微软雅黑" w:eastAsia="微软雅黑"/>
          <w:sz w:val="24"/>
          <w:szCs w:val="24"/>
        </w:rPr>
        <w:t>往来余额查询，往来明细账可以显示核销状态和到期日期等辅助信息，</w:t>
      </w:r>
    </w:p>
    <w:p>
      <w:pPr>
        <w:pStyle w:val="8"/>
        <w:widowControl w:val="0"/>
        <w:numPr>
          <w:ilvl w:val="0"/>
          <w:numId w:val="14"/>
        </w:numPr>
        <w:spacing w:before="0" w:after="0" w:line="360" w:lineRule="auto"/>
        <w:contextualSpacing w:val="0"/>
        <w:jc w:val="both"/>
        <w:rPr>
          <w:rFonts w:ascii="微软雅黑" w:hAnsi="微软雅黑" w:eastAsia="微软雅黑"/>
          <w:sz w:val="24"/>
          <w:szCs w:val="24"/>
        </w:rPr>
      </w:pPr>
      <w:r>
        <w:rPr>
          <w:rFonts w:hint="eastAsia" w:ascii="微软雅黑" w:hAnsi="微软雅黑" w:eastAsia="微软雅黑"/>
          <w:sz w:val="24"/>
          <w:szCs w:val="24"/>
        </w:rPr>
        <w:t>提供应付票据的登记、核销及应付票据备查簿；</w:t>
      </w:r>
    </w:p>
    <w:p>
      <w:pPr>
        <w:pStyle w:val="8"/>
        <w:widowControl w:val="0"/>
        <w:numPr>
          <w:ilvl w:val="0"/>
          <w:numId w:val="14"/>
        </w:numPr>
        <w:spacing w:before="0" w:after="0" w:line="360" w:lineRule="auto"/>
        <w:contextualSpacing w:val="0"/>
        <w:jc w:val="both"/>
        <w:rPr>
          <w:rFonts w:ascii="微软雅黑" w:hAnsi="微软雅黑" w:eastAsia="微软雅黑"/>
          <w:sz w:val="24"/>
          <w:szCs w:val="24"/>
        </w:rPr>
      </w:pPr>
      <w:r>
        <w:rPr>
          <w:rFonts w:hint="eastAsia" w:ascii="微软雅黑" w:hAnsi="微软雅黑" w:eastAsia="微软雅黑"/>
          <w:sz w:val="24"/>
          <w:szCs w:val="24"/>
        </w:rPr>
        <w:t>根据应付科目、分析方式、分析日期、截止日期分析各应付类别和项目的应付账龄</w:t>
      </w:r>
      <w:r>
        <w:rPr>
          <w:rFonts w:ascii="微软雅黑" w:hAnsi="微软雅黑" w:eastAsia="微软雅黑"/>
          <w:sz w:val="24"/>
          <w:szCs w:val="24"/>
        </w:rPr>
        <w:t>。</w:t>
      </w:r>
    </w:p>
    <w:p>
      <w:pPr>
        <w:numPr>
          <w:ilvl w:val="0"/>
          <w:numId w:val="14"/>
        </w:numPr>
        <w:spacing w:line="360" w:lineRule="auto"/>
        <w:rPr>
          <w:rFonts w:ascii="微软雅黑" w:hAnsi="微软雅黑" w:eastAsia="微软雅黑"/>
          <w:sz w:val="24"/>
          <w:szCs w:val="24"/>
        </w:rPr>
      </w:pPr>
      <w:r>
        <w:rPr>
          <w:rFonts w:hint="eastAsia" w:ascii="微软雅黑" w:hAnsi="微软雅黑" w:eastAsia="微软雅黑"/>
          <w:sz w:val="24"/>
          <w:szCs w:val="24"/>
        </w:rPr>
        <w:t>往来账初始化设置。</w:t>
      </w:r>
    </w:p>
    <w:p>
      <w:pPr>
        <w:pStyle w:val="8"/>
        <w:widowControl w:val="0"/>
        <w:numPr>
          <w:ilvl w:val="0"/>
          <w:numId w:val="14"/>
        </w:numPr>
        <w:spacing w:before="0" w:after="0" w:line="360" w:lineRule="auto"/>
        <w:contextualSpacing w:val="0"/>
        <w:jc w:val="both"/>
        <w:rPr>
          <w:rFonts w:ascii="微软雅黑" w:hAnsi="微软雅黑" w:eastAsia="微软雅黑"/>
          <w:sz w:val="24"/>
          <w:szCs w:val="24"/>
        </w:rPr>
      </w:pPr>
      <w:r>
        <w:rPr>
          <w:rFonts w:hint="eastAsia" w:ascii="微软雅黑" w:hAnsi="微软雅黑" w:eastAsia="微软雅黑"/>
          <w:sz w:val="24"/>
          <w:szCs w:val="24"/>
        </w:rPr>
        <w:t>自动生成设备、材料相关的业务凭证，完成应付业务的会计核算。</w:t>
      </w:r>
    </w:p>
    <w:p>
      <w:pPr>
        <w:pStyle w:val="10"/>
        <w:numPr>
          <w:ilvl w:val="0"/>
          <w:numId w:val="12"/>
        </w:numPr>
        <w:rPr>
          <w:rFonts w:ascii="微软雅黑" w:hAnsi="微软雅黑" w:eastAsia="微软雅黑"/>
          <w:b/>
          <w:sz w:val="24"/>
          <w:szCs w:val="24"/>
        </w:rPr>
      </w:pPr>
      <w:bookmarkStart w:id="41" w:name="_Toc523486791"/>
      <w:bookmarkStart w:id="42" w:name="_Toc14159"/>
      <w:r>
        <w:rPr>
          <w:rFonts w:hint="eastAsia" w:ascii="微软雅黑" w:hAnsi="微软雅黑" w:eastAsia="微软雅黑"/>
          <w:b/>
          <w:sz w:val="24"/>
          <w:szCs w:val="24"/>
        </w:rPr>
        <w:t>报表管理</w:t>
      </w:r>
      <w:bookmarkEnd w:id="41"/>
      <w:bookmarkEnd w:id="42"/>
    </w:p>
    <w:p>
      <w:pPr>
        <w:spacing w:line="360" w:lineRule="auto"/>
        <w:ind w:firstLine="480" w:firstLineChars="200"/>
        <w:rPr>
          <w:rFonts w:ascii="微软雅黑" w:hAnsi="微软雅黑" w:eastAsia="微软雅黑"/>
          <w:sz w:val="24"/>
          <w:szCs w:val="24"/>
        </w:rPr>
      </w:pPr>
      <w:r>
        <w:rPr>
          <w:rFonts w:hint="eastAsia" w:ascii="微软雅黑" w:hAnsi="微软雅黑" w:eastAsia="微软雅黑"/>
          <w:sz w:val="24"/>
          <w:szCs w:val="24"/>
        </w:rPr>
        <w:t>按照财政部门和行业主管单位、医院的需要而规定的格式化的报表，如资产负债、收入支出表、现金流量表等。可以自由定制报表的格式、类型，自动生成报表；支持各种类型的会计取数函数，支持各种关系的审核定义和汇总定义；可以自动生成报表、查询、审核、汇总；支持报表跨单位、跨账套取数，支持表间取数和表间审核。</w:t>
      </w:r>
    </w:p>
    <w:p>
      <w:pPr>
        <w:spacing w:line="360" w:lineRule="auto"/>
        <w:ind w:firstLine="480" w:firstLineChars="200"/>
        <w:rPr>
          <w:rFonts w:ascii="微软雅黑" w:hAnsi="微软雅黑" w:eastAsia="微软雅黑"/>
          <w:sz w:val="24"/>
          <w:szCs w:val="24"/>
        </w:rPr>
      </w:pPr>
      <w:r>
        <w:rPr>
          <w:rFonts w:hint="eastAsia" w:ascii="微软雅黑" w:hAnsi="微软雅黑" w:eastAsia="微软雅黑"/>
          <w:sz w:val="24"/>
          <w:szCs w:val="24"/>
        </w:rPr>
        <w:t>同时支持预算会计报表。</w:t>
      </w:r>
    </w:p>
    <w:p>
      <w:pPr>
        <w:spacing w:line="360" w:lineRule="auto"/>
        <w:ind w:firstLine="480" w:firstLineChars="200"/>
        <w:rPr>
          <w:rFonts w:ascii="微软雅黑" w:hAnsi="微软雅黑" w:eastAsia="微软雅黑"/>
          <w:sz w:val="24"/>
          <w:szCs w:val="24"/>
        </w:rPr>
      </w:pPr>
      <w:r>
        <w:rPr>
          <w:rFonts w:hint="eastAsia" w:ascii="微软雅黑" w:hAnsi="微软雅黑" w:eastAsia="微软雅黑"/>
          <w:sz w:val="24"/>
          <w:szCs w:val="24"/>
        </w:rPr>
        <w:t>报表管理主要功能：</w:t>
      </w:r>
    </w:p>
    <w:p>
      <w:pPr>
        <w:pStyle w:val="8"/>
        <w:widowControl w:val="0"/>
        <w:numPr>
          <w:ilvl w:val="0"/>
          <w:numId w:val="19"/>
        </w:numPr>
        <w:spacing w:before="0" w:after="0" w:line="240" w:lineRule="auto"/>
        <w:contextualSpacing w:val="0"/>
        <w:jc w:val="both"/>
        <w:rPr>
          <w:rFonts w:ascii="微软雅黑" w:hAnsi="微软雅黑" w:eastAsia="微软雅黑"/>
          <w:sz w:val="24"/>
          <w:szCs w:val="21"/>
        </w:rPr>
      </w:pPr>
      <w:r>
        <w:rPr>
          <w:rFonts w:hint="eastAsia" w:ascii="微软雅黑" w:hAnsi="微软雅黑" w:eastAsia="微软雅黑"/>
          <w:sz w:val="24"/>
          <w:szCs w:val="21"/>
        </w:rPr>
        <w:t>报表定义，预置会计制度要求的多张报表，且含标准的取数公式；</w:t>
      </w:r>
    </w:p>
    <w:p>
      <w:pPr>
        <w:pStyle w:val="8"/>
        <w:widowControl w:val="0"/>
        <w:numPr>
          <w:ilvl w:val="0"/>
          <w:numId w:val="19"/>
        </w:numPr>
        <w:spacing w:before="0" w:after="0" w:line="360" w:lineRule="auto"/>
        <w:contextualSpacing w:val="0"/>
        <w:jc w:val="both"/>
        <w:rPr>
          <w:rFonts w:ascii="微软雅黑" w:hAnsi="微软雅黑" w:eastAsia="微软雅黑"/>
          <w:sz w:val="24"/>
          <w:szCs w:val="24"/>
        </w:rPr>
      </w:pPr>
      <w:r>
        <w:rPr>
          <w:rFonts w:hint="eastAsia" w:ascii="微软雅黑" w:hAnsi="微软雅黑" w:eastAsia="微软雅黑"/>
          <w:sz w:val="24"/>
          <w:szCs w:val="24"/>
        </w:rPr>
        <w:t>自定义的报表函数设置；</w:t>
      </w:r>
    </w:p>
    <w:p>
      <w:pPr>
        <w:pStyle w:val="8"/>
        <w:widowControl w:val="0"/>
        <w:numPr>
          <w:ilvl w:val="0"/>
          <w:numId w:val="19"/>
        </w:numPr>
        <w:spacing w:before="0" w:after="0" w:line="360" w:lineRule="auto"/>
        <w:contextualSpacing w:val="0"/>
        <w:jc w:val="both"/>
        <w:rPr>
          <w:rFonts w:ascii="微软雅黑" w:hAnsi="微软雅黑" w:eastAsia="微软雅黑"/>
          <w:sz w:val="24"/>
          <w:szCs w:val="24"/>
        </w:rPr>
      </w:pPr>
      <w:r>
        <w:rPr>
          <w:rFonts w:hint="eastAsia" w:ascii="微软雅黑" w:hAnsi="微软雅黑" w:eastAsia="微软雅黑"/>
          <w:sz w:val="24"/>
          <w:szCs w:val="24"/>
        </w:rPr>
        <w:t>各种关系的审核定义和汇总定义；</w:t>
      </w:r>
    </w:p>
    <w:p>
      <w:pPr>
        <w:pStyle w:val="8"/>
        <w:widowControl w:val="0"/>
        <w:numPr>
          <w:ilvl w:val="0"/>
          <w:numId w:val="19"/>
        </w:numPr>
        <w:spacing w:before="0" w:after="0" w:line="360" w:lineRule="auto"/>
        <w:contextualSpacing w:val="0"/>
        <w:jc w:val="both"/>
        <w:rPr>
          <w:rFonts w:ascii="微软雅黑" w:hAnsi="微软雅黑" w:eastAsia="微软雅黑"/>
          <w:sz w:val="24"/>
          <w:szCs w:val="24"/>
        </w:rPr>
      </w:pPr>
      <w:r>
        <w:rPr>
          <w:rFonts w:hint="eastAsia" w:ascii="微软雅黑" w:hAnsi="微软雅黑" w:eastAsia="微软雅黑"/>
          <w:sz w:val="24"/>
          <w:szCs w:val="24"/>
        </w:rPr>
        <w:t>跨单位、跨账套取数；</w:t>
      </w:r>
    </w:p>
    <w:p>
      <w:pPr>
        <w:pStyle w:val="8"/>
        <w:widowControl w:val="0"/>
        <w:numPr>
          <w:ilvl w:val="0"/>
          <w:numId w:val="19"/>
        </w:numPr>
        <w:spacing w:before="0" w:after="0" w:line="360" w:lineRule="auto"/>
        <w:contextualSpacing w:val="0"/>
        <w:jc w:val="both"/>
        <w:rPr>
          <w:rFonts w:ascii="微软雅黑" w:hAnsi="微软雅黑" w:eastAsia="微软雅黑"/>
          <w:sz w:val="24"/>
          <w:szCs w:val="24"/>
        </w:rPr>
      </w:pPr>
      <w:r>
        <w:rPr>
          <w:rFonts w:hint="eastAsia" w:ascii="微软雅黑" w:hAnsi="微软雅黑" w:eastAsia="微软雅黑"/>
          <w:sz w:val="24"/>
          <w:szCs w:val="24"/>
        </w:rPr>
        <w:t>表间取数和表间审核；</w:t>
      </w:r>
    </w:p>
    <w:p>
      <w:pPr>
        <w:pStyle w:val="8"/>
        <w:widowControl w:val="0"/>
        <w:numPr>
          <w:ilvl w:val="0"/>
          <w:numId w:val="19"/>
        </w:numPr>
        <w:spacing w:before="0" w:after="0" w:line="360" w:lineRule="auto"/>
        <w:contextualSpacing w:val="0"/>
        <w:jc w:val="both"/>
        <w:rPr>
          <w:rFonts w:ascii="微软雅黑" w:hAnsi="微软雅黑" w:eastAsia="微软雅黑"/>
          <w:sz w:val="24"/>
          <w:szCs w:val="24"/>
        </w:rPr>
      </w:pPr>
      <w:r>
        <w:rPr>
          <w:rFonts w:hint="eastAsia" w:ascii="微软雅黑" w:hAnsi="微软雅黑" w:eastAsia="微软雅黑"/>
          <w:sz w:val="24"/>
          <w:szCs w:val="24"/>
        </w:rPr>
        <w:t>可视化的报表制作页面，按照月份时间线展示。</w:t>
      </w:r>
    </w:p>
    <w:p>
      <w:pPr>
        <w:pStyle w:val="10"/>
        <w:numPr>
          <w:ilvl w:val="0"/>
          <w:numId w:val="12"/>
        </w:numPr>
        <w:rPr>
          <w:rFonts w:ascii="微软雅黑" w:hAnsi="微软雅黑" w:eastAsia="微软雅黑"/>
          <w:b/>
          <w:sz w:val="24"/>
          <w:szCs w:val="24"/>
        </w:rPr>
      </w:pPr>
      <w:bookmarkStart w:id="43" w:name="_Toc8596"/>
      <w:bookmarkStart w:id="44" w:name="_Toc523486792"/>
      <w:r>
        <w:rPr>
          <w:rFonts w:hint="eastAsia" w:ascii="微软雅黑" w:hAnsi="微软雅黑" w:eastAsia="微软雅黑"/>
          <w:b/>
          <w:sz w:val="24"/>
          <w:szCs w:val="24"/>
        </w:rPr>
        <w:t>财务分析</w:t>
      </w:r>
      <w:bookmarkEnd w:id="43"/>
      <w:bookmarkEnd w:id="44"/>
    </w:p>
    <w:p>
      <w:pPr>
        <w:spacing w:line="360" w:lineRule="auto"/>
        <w:rPr>
          <w:rFonts w:ascii="微软雅黑" w:hAnsi="微软雅黑" w:eastAsia="微软雅黑"/>
          <w:sz w:val="24"/>
          <w:szCs w:val="24"/>
        </w:rPr>
      </w:pPr>
      <w:r>
        <w:rPr>
          <w:rFonts w:hint="eastAsia" w:ascii="宋体" w:hAnsi="宋体"/>
          <w:sz w:val="24"/>
          <w:szCs w:val="24"/>
        </w:rPr>
        <w:t xml:space="preserve">   </w:t>
      </w:r>
      <w:r>
        <w:rPr>
          <w:rFonts w:hint="eastAsia" w:ascii="微软雅黑" w:hAnsi="微软雅黑" w:eastAsia="微软雅黑"/>
          <w:sz w:val="24"/>
          <w:szCs w:val="24"/>
        </w:rPr>
        <w:t xml:space="preserve"> 提供关键的财务指标、杜邦分析、资产负债、现金流量、医院收益等相关的关键的内容分析。可以方便的完成分析内容，并可以自定义新的分析内容。 </w:t>
      </w:r>
    </w:p>
    <w:p>
      <w:pPr>
        <w:pStyle w:val="10"/>
        <w:numPr>
          <w:ilvl w:val="0"/>
          <w:numId w:val="12"/>
        </w:numPr>
        <w:rPr>
          <w:rFonts w:ascii="微软雅黑" w:hAnsi="微软雅黑" w:eastAsia="微软雅黑"/>
          <w:b/>
          <w:sz w:val="24"/>
          <w:szCs w:val="24"/>
        </w:rPr>
      </w:pPr>
      <w:bookmarkStart w:id="45" w:name="_Toc2744"/>
      <w:bookmarkStart w:id="46" w:name="_Toc523486793"/>
      <w:r>
        <w:rPr>
          <w:rFonts w:hint="eastAsia" w:ascii="微软雅黑" w:hAnsi="微软雅黑" w:eastAsia="微软雅黑"/>
          <w:b/>
          <w:sz w:val="24"/>
          <w:szCs w:val="24"/>
        </w:rPr>
        <w:t>期末处理</w:t>
      </w:r>
      <w:bookmarkEnd w:id="45"/>
      <w:bookmarkEnd w:id="46"/>
    </w:p>
    <w:p>
      <w:pPr>
        <w:spacing w:line="360" w:lineRule="auto"/>
        <w:ind w:firstLine="480" w:firstLineChars="200"/>
        <w:rPr>
          <w:rFonts w:ascii="微软雅黑" w:hAnsi="微软雅黑" w:eastAsia="微软雅黑"/>
          <w:sz w:val="24"/>
          <w:szCs w:val="24"/>
        </w:rPr>
      </w:pPr>
      <w:r>
        <w:rPr>
          <w:rFonts w:hint="eastAsia" w:ascii="微软雅黑" w:hAnsi="微软雅黑" w:eastAsia="微软雅黑"/>
          <w:sz w:val="24"/>
          <w:szCs w:val="24"/>
        </w:rPr>
        <w:t xml:space="preserve">提供自动结转、结账等期末处理功能。 </w:t>
      </w:r>
    </w:p>
    <w:p>
      <w:pPr>
        <w:spacing w:line="360" w:lineRule="auto"/>
        <w:ind w:firstLine="480" w:firstLineChars="200"/>
        <w:rPr>
          <w:rFonts w:ascii="微软雅黑" w:hAnsi="微软雅黑" w:eastAsia="微软雅黑"/>
          <w:sz w:val="24"/>
          <w:szCs w:val="24"/>
        </w:rPr>
      </w:pPr>
      <w:r>
        <w:rPr>
          <w:rFonts w:hint="eastAsia" w:ascii="微软雅黑" w:hAnsi="微软雅黑" w:eastAsia="微软雅黑"/>
          <w:sz w:val="24"/>
        </w:rPr>
        <w:t>灵活适应政府会计制度。年末处理自动生成凭证体现预算会计科目。针对年末处理中，只有预算会计科目，不涉及财务会计科目的进行模板配置和自动生成凭证，预算年末处理自动生成凭证时，只会出现预算会计科目。</w:t>
      </w:r>
    </w:p>
    <w:p>
      <w:pPr>
        <w:pStyle w:val="10"/>
        <w:numPr>
          <w:ilvl w:val="0"/>
          <w:numId w:val="12"/>
        </w:numPr>
        <w:rPr>
          <w:rFonts w:ascii="微软雅黑" w:hAnsi="微软雅黑" w:eastAsia="微软雅黑"/>
          <w:b/>
          <w:sz w:val="24"/>
          <w:szCs w:val="24"/>
        </w:rPr>
      </w:pPr>
      <w:bookmarkStart w:id="47" w:name="_Toc26088"/>
      <w:bookmarkStart w:id="48" w:name="_Toc523486794"/>
      <w:bookmarkStart w:id="49" w:name="_Toc522889431"/>
      <w:r>
        <w:rPr>
          <w:rFonts w:hint="eastAsia" w:ascii="微软雅黑" w:hAnsi="微软雅黑" w:eastAsia="微软雅黑"/>
          <w:b/>
          <w:sz w:val="24"/>
          <w:szCs w:val="24"/>
        </w:rPr>
        <w:t>新旧制度财务系统衔接工具</w:t>
      </w:r>
      <w:bookmarkEnd w:id="47"/>
      <w:bookmarkEnd w:id="48"/>
      <w:bookmarkEnd w:id="49"/>
    </w:p>
    <w:p>
      <w:pPr>
        <w:spacing w:line="360" w:lineRule="auto"/>
        <w:ind w:right="3" w:firstLine="480" w:firstLineChars="200"/>
        <w:rPr>
          <w:rFonts w:ascii="微软雅黑" w:hAnsi="微软雅黑" w:eastAsia="微软雅黑"/>
          <w:sz w:val="24"/>
          <w:szCs w:val="24"/>
        </w:rPr>
      </w:pPr>
      <w:r>
        <w:rPr>
          <w:rFonts w:hint="eastAsia" w:ascii="微软雅黑" w:hAnsi="微软雅黑" w:eastAsia="微软雅黑"/>
          <w:sz w:val="24"/>
          <w:szCs w:val="24"/>
        </w:rPr>
        <w:t>保持上年历史数据不受影响，系统新增新原科目体系基础资料对照关系配置，包括会计科目、功能分类、经济分类等基础资料。</w:t>
      </w:r>
    </w:p>
    <w:p>
      <w:pPr>
        <w:spacing w:line="360" w:lineRule="auto"/>
        <w:ind w:right="3" w:firstLine="480" w:firstLineChars="200"/>
        <w:rPr>
          <w:rFonts w:ascii="微软雅黑" w:hAnsi="微软雅黑" w:eastAsia="微软雅黑"/>
          <w:sz w:val="24"/>
          <w:szCs w:val="24"/>
        </w:rPr>
      </w:pPr>
      <w:r>
        <w:rPr>
          <w:rFonts w:hint="eastAsia" w:ascii="微软雅黑" w:hAnsi="微软雅黑" w:eastAsia="微软雅黑"/>
          <w:sz w:val="24"/>
          <w:szCs w:val="24"/>
        </w:rPr>
        <w:t>通过基础资料映射关系，外部导入或抽取原科目体系年末数据作为新科目体系年初余额。</w:t>
      </w:r>
    </w:p>
    <w:p>
      <w:pPr>
        <w:spacing w:line="360" w:lineRule="auto"/>
        <w:ind w:right="3" w:firstLine="480" w:firstLineChars="200"/>
        <w:rPr>
          <w:rFonts w:ascii="微软雅黑" w:hAnsi="微软雅黑" w:eastAsia="微软雅黑"/>
          <w:sz w:val="24"/>
          <w:szCs w:val="24"/>
        </w:rPr>
      </w:pPr>
      <w:r>
        <w:rPr>
          <w:rFonts w:hint="eastAsia" w:ascii="微软雅黑" w:hAnsi="微软雅黑" w:eastAsia="微软雅黑"/>
          <w:sz w:val="24"/>
          <w:szCs w:val="24"/>
        </w:rPr>
        <w:t>新旧制度财务系统数据衔接转换工具可完成数据抽取生成结转数据，调整数据录入等功能。</w:t>
      </w:r>
    </w:p>
    <w:p>
      <w:pPr>
        <w:spacing w:line="360" w:lineRule="auto"/>
        <w:ind w:right="3" w:firstLine="480" w:firstLineChars="200"/>
        <w:rPr>
          <w:rFonts w:ascii="微软雅黑" w:hAnsi="微软雅黑" w:eastAsia="微软雅黑"/>
          <w:sz w:val="24"/>
          <w:szCs w:val="24"/>
        </w:rPr>
      </w:pPr>
      <w:r>
        <w:rPr>
          <w:rFonts w:hint="eastAsia" w:ascii="微软雅黑" w:hAnsi="微软雅黑" w:eastAsia="微软雅黑"/>
          <w:sz w:val="24"/>
          <w:szCs w:val="24"/>
        </w:rPr>
        <w:t>同时满足医院核算从“收付实现制”向“权责发生制”转换，对补录和调整业务进行录入，增加年初调整功能，将调整后的数据作为下年年初余额，开始新年度的记账业务。</w:t>
      </w:r>
    </w:p>
    <w:p>
      <w:pPr>
        <w:rPr>
          <w:rFonts w:ascii="微软雅黑" w:hAnsi="微软雅黑" w:eastAsia="微软雅黑"/>
          <w:sz w:val="24"/>
        </w:rPr>
      </w:pPr>
    </w:p>
    <w:bookmarkEnd w:id="25"/>
    <w:bookmarkEnd w:id="26"/>
    <w:bookmarkEnd w:id="27"/>
    <w:bookmarkEnd w:id="28"/>
    <w:bookmarkEnd w:id="29"/>
    <w:bookmarkEnd w:id="30"/>
    <w:bookmarkEnd w:id="31"/>
    <w:bookmarkEnd w:id="32"/>
    <w:p>
      <w:pPr>
        <w:jc w:val="left"/>
        <w:rPr>
          <w:rFonts w:ascii="微软雅黑" w:hAnsi="微软雅黑" w:eastAsia="微软雅黑" w:cs="宋体"/>
          <w:color w:val="000000"/>
          <w:sz w:val="24"/>
          <w:szCs w:val="24"/>
        </w:rPr>
      </w:pPr>
    </w:p>
    <w:p>
      <w:pPr>
        <w:pStyle w:val="3"/>
        <w:numPr>
          <w:ilvl w:val="1"/>
          <w:numId w:val="3"/>
        </w:numPr>
        <w:tabs>
          <w:tab w:val="left" w:pos="576"/>
        </w:tabs>
        <w:spacing w:before="0" w:after="0" w:line="240" w:lineRule="auto"/>
        <w:rPr>
          <w:rFonts w:ascii="微软雅黑" w:hAnsi="微软雅黑" w:eastAsia="微软雅黑"/>
          <w:sz w:val="30"/>
          <w:szCs w:val="30"/>
        </w:rPr>
      </w:pPr>
      <w:bookmarkStart w:id="50" w:name="_Toc124489993"/>
      <w:bookmarkStart w:id="51" w:name="_Toc125782128"/>
      <w:bookmarkStart w:id="52" w:name="_Toc137961771"/>
      <w:bookmarkStart w:id="53" w:name="_Toc142632512"/>
      <w:bookmarkStart w:id="54" w:name="_Toc9519"/>
      <w:bookmarkStart w:id="55" w:name="_Toc146534277"/>
      <w:bookmarkStart w:id="56" w:name="_Toc234859260"/>
      <w:r>
        <w:rPr>
          <w:rFonts w:hint="eastAsia" w:ascii="微软雅黑" w:hAnsi="微软雅黑" w:eastAsia="微软雅黑"/>
          <w:sz w:val="30"/>
          <w:szCs w:val="30"/>
        </w:rPr>
        <w:t>项目建设技术</w:t>
      </w:r>
      <w:bookmarkEnd w:id="50"/>
      <w:bookmarkEnd w:id="51"/>
      <w:bookmarkEnd w:id="52"/>
      <w:r>
        <w:rPr>
          <w:rFonts w:hint="eastAsia" w:ascii="微软雅黑" w:hAnsi="微软雅黑" w:eastAsia="微软雅黑"/>
          <w:sz w:val="30"/>
          <w:szCs w:val="30"/>
        </w:rPr>
        <w:t>需求</w:t>
      </w:r>
      <w:bookmarkEnd w:id="53"/>
      <w:bookmarkEnd w:id="54"/>
      <w:bookmarkEnd w:id="55"/>
      <w:bookmarkEnd w:id="56"/>
    </w:p>
    <w:p>
      <w:pPr>
        <w:ind w:firstLine="480"/>
        <w:jc w:val="left"/>
        <w:rPr>
          <w:rFonts w:ascii="微软雅黑" w:hAnsi="微软雅黑" w:eastAsia="微软雅黑" w:cs="Times New Roman"/>
          <w:color w:val="000000"/>
          <w:sz w:val="24"/>
          <w:szCs w:val="24"/>
        </w:rPr>
      </w:pPr>
      <w:bookmarkStart w:id="57" w:name="_Toc125782129"/>
      <w:bookmarkStart w:id="58" w:name="_Toc137961772"/>
      <w:r>
        <w:rPr>
          <w:rFonts w:hint="eastAsia" w:ascii="微软雅黑" w:hAnsi="微软雅黑" w:eastAsia="微软雅黑" w:cs="宋体"/>
          <w:color w:val="000000"/>
          <w:sz w:val="24"/>
          <w:szCs w:val="24"/>
        </w:rPr>
        <w:t>本项目建设的技术要求必须根据本文件的内容进行结构性编制；也可以根据自己对项目建设总体目标的理解增加内容，并按照系统化的要求进行设计方案的编制。</w:t>
      </w:r>
    </w:p>
    <w:p>
      <w:pPr>
        <w:pStyle w:val="4"/>
        <w:numPr>
          <w:ilvl w:val="2"/>
          <w:numId w:val="20"/>
        </w:numPr>
        <w:spacing w:before="0" w:after="0" w:line="240" w:lineRule="auto"/>
        <w:rPr>
          <w:rFonts w:ascii="微软雅黑" w:hAnsi="微软雅黑" w:eastAsia="微软雅黑" w:cs="宋体"/>
          <w:color w:val="000000"/>
          <w:sz w:val="28"/>
          <w:szCs w:val="28"/>
          <w:highlight w:val="none"/>
        </w:rPr>
      </w:pPr>
      <w:bookmarkStart w:id="59" w:name="_Toc146534278"/>
      <w:bookmarkStart w:id="60" w:name="_Toc30405"/>
      <w:bookmarkStart w:id="61" w:name="_Toc234859261"/>
      <w:bookmarkStart w:id="62" w:name="_Toc142632513"/>
      <w:r>
        <w:rPr>
          <w:rFonts w:hint="eastAsia" w:ascii="微软雅黑" w:hAnsi="微软雅黑" w:eastAsia="微软雅黑" w:cs="宋体"/>
          <w:color w:val="000000"/>
          <w:sz w:val="28"/>
          <w:szCs w:val="28"/>
          <w:highlight w:val="none"/>
        </w:rPr>
        <w:t>技术要求概要</w:t>
      </w:r>
      <w:bookmarkEnd w:id="57"/>
      <w:bookmarkEnd w:id="58"/>
      <w:r>
        <w:rPr>
          <w:rFonts w:hint="eastAsia" w:ascii="微软雅黑" w:hAnsi="微软雅黑" w:eastAsia="微软雅黑" w:cs="宋体"/>
          <w:color w:val="000000"/>
          <w:sz w:val="28"/>
          <w:szCs w:val="28"/>
          <w:highlight w:val="none"/>
        </w:rPr>
        <w:t>设计</w:t>
      </w:r>
      <w:bookmarkEnd w:id="59"/>
      <w:bookmarkEnd w:id="60"/>
      <w:bookmarkEnd w:id="61"/>
      <w:bookmarkEnd w:id="62"/>
    </w:p>
    <w:p>
      <w:pPr>
        <w:ind w:firstLine="480"/>
        <w:jc w:val="left"/>
        <w:rPr>
          <w:rFonts w:ascii="微软雅黑" w:hAnsi="微软雅黑" w:eastAsia="微软雅黑" w:cs="Times New Roman"/>
          <w:color w:val="000000"/>
          <w:sz w:val="24"/>
          <w:szCs w:val="24"/>
          <w:highlight w:val="none"/>
        </w:rPr>
      </w:pPr>
      <w:r>
        <w:rPr>
          <w:rFonts w:hint="eastAsia" w:ascii="微软雅黑" w:hAnsi="微软雅黑" w:eastAsia="微软雅黑" w:cs="宋体"/>
          <w:color w:val="000000"/>
          <w:sz w:val="24"/>
          <w:szCs w:val="24"/>
          <w:highlight w:val="none"/>
        </w:rPr>
        <w:t>医院综合运营精细化管理项目建设，从技术层面上需遵循如下的技术要求：</w:t>
      </w:r>
    </w:p>
    <w:p>
      <w:pPr>
        <w:numPr>
          <w:ilvl w:val="0"/>
          <w:numId w:val="21"/>
        </w:numPr>
        <w:ind w:left="426" w:hanging="279"/>
        <w:rPr>
          <w:rFonts w:ascii="微软雅黑" w:hAnsi="微软雅黑" w:eastAsia="微软雅黑"/>
          <w:sz w:val="24"/>
          <w:highlight w:val="none"/>
        </w:rPr>
      </w:pPr>
      <w:bookmarkStart w:id="63" w:name="_Toc142632514"/>
      <w:bookmarkStart w:id="64" w:name="_Toc146534279"/>
      <w:r>
        <w:rPr>
          <w:rFonts w:hint="eastAsia" w:ascii="微软雅黑" w:hAnsi="微软雅黑" w:eastAsia="微软雅黑"/>
          <w:sz w:val="24"/>
          <w:highlight w:val="none"/>
        </w:rPr>
        <w:t>系统采用</w:t>
      </w:r>
      <w:r>
        <w:rPr>
          <w:rFonts w:ascii="微软雅黑" w:hAnsi="微软雅黑" w:eastAsia="微软雅黑"/>
          <w:sz w:val="24"/>
          <w:highlight w:val="none"/>
        </w:rPr>
        <w:t>B/S</w:t>
      </w:r>
      <w:r>
        <w:rPr>
          <w:rFonts w:hint="eastAsia" w:ascii="微软雅黑" w:hAnsi="微软雅黑" w:eastAsia="微软雅黑"/>
          <w:sz w:val="24"/>
          <w:highlight w:val="none"/>
        </w:rPr>
        <w:t>架构：系统各模块需采用同一技术架构，在统一的底层基础平台上进行设计。医院综合运营管理平台及各分系统等均需采用</w:t>
      </w:r>
      <w:r>
        <w:rPr>
          <w:rFonts w:ascii="微软雅黑" w:hAnsi="微软雅黑" w:eastAsia="微软雅黑"/>
          <w:sz w:val="24"/>
          <w:highlight w:val="none"/>
        </w:rPr>
        <w:t>B/S</w:t>
      </w:r>
      <w:r>
        <w:rPr>
          <w:rFonts w:hint="eastAsia" w:ascii="微软雅黑" w:hAnsi="微软雅黑" w:eastAsia="微软雅黑"/>
          <w:sz w:val="24"/>
          <w:highlight w:val="none"/>
        </w:rPr>
        <w:t>技术架构实现。</w:t>
      </w:r>
    </w:p>
    <w:p>
      <w:pPr>
        <w:numPr>
          <w:ilvl w:val="0"/>
          <w:numId w:val="21"/>
        </w:numPr>
        <w:ind w:left="426" w:hanging="279"/>
        <w:rPr>
          <w:rFonts w:ascii="微软雅黑" w:hAnsi="微软雅黑" w:eastAsia="微软雅黑"/>
          <w:sz w:val="24"/>
          <w:highlight w:val="none"/>
        </w:rPr>
      </w:pPr>
      <w:r>
        <w:rPr>
          <w:rFonts w:hint="eastAsia" w:ascii="微软雅黑" w:hAnsi="微软雅黑" w:eastAsia="微软雅黑"/>
          <w:sz w:val="24"/>
          <w:highlight w:val="none"/>
        </w:rPr>
        <w:t>与第三方信息系统的数据交换：提供与医院第三方系统统一接口的维护与管理系统，实现针对</w:t>
      </w:r>
      <w:r>
        <w:rPr>
          <w:rFonts w:ascii="微软雅黑" w:hAnsi="微软雅黑" w:eastAsia="微软雅黑"/>
          <w:sz w:val="24"/>
          <w:highlight w:val="none"/>
        </w:rPr>
        <w:t>HIS</w:t>
      </w:r>
      <w:r>
        <w:rPr>
          <w:rFonts w:hint="eastAsia" w:ascii="微软雅黑" w:hAnsi="微软雅黑" w:eastAsia="微软雅黑"/>
          <w:sz w:val="24"/>
          <w:highlight w:val="none"/>
        </w:rPr>
        <w:t>、</w:t>
      </w:r>
      <w:r>
        <w:rPr>
          <w:rFonts w:ascii="微软雅黑" w:hAnsi="微软雅黑" w:eastAsia="微软雅黑"/>
          <w:sz w:val="24"/>
          <w:highlight w:val="none"/>
        </w:rPr>
        <w:t>EMR</w:t>
      </w:r>
      <w:r>
        <w:rPr>
          <w:rFonts w:hint="eastAsia" w:ascii="微软雅黑" w:hAnsi="微软雅黑" w:eastAsia="微软雅黑"/>
          <w:sz w:val="24"/>
          <w:highlight w:val="none"/>
        </w:rPr>
        <w:t>、药品等关键医疗业务信息系统的数据交换。</w:t>
      </w:r>
    </w:p>
    <w:p>
      <w:pPr>
        <w:numPr>
          <w:ilvl w:val="0"/>
          <w:numId w:val="21"/>
        </w:numPr>
        <w:ind w:left="426" w:hanging="279"/>
        <w:rPr>
          <w:rFonts w:ascii="微软雅黑" w:hAnsi="微软雅黑" w:eastAsia="微软雅黑"/>
          <w:sz w:val="24"/>
          <w:highlight w:val="none"/>
        </w:rPr>
      </w:pPr>
      <w:r>
        <w:rPr>
          <w:rFonts w:hint="eastAsia" w:ascii="微软雅黑" w:hAnsi="微软雅黑" w:eastAsia="微软雅黑"/>
          <w:sz w:val="24"/>
          <w:highlight w:val="none"/>
        </w:rPr>
        <w:t>关键技术：根据医院综合运营精细化管理的一体化应用功能需求和相关建设规范，考虑到系统运行的长远规划，以及整个系统的跨平台性、安全性、可靠性、稳定性、易维护性以及可扩展性，建议采用</w:t>
      </w:r>
      <w:r>
        <w:rPr>
          <w:rFonts w:ascii="微软雅黑" w:hAnsi="微软雅黑" w:eastAsia="微软雅黑"/>
          <w:sz w:val="24"/>
          <w:highlight w:val="none"/>
        </w:rPr>
        <w:t>J2EE</w:t>
      </w:r>
      <w:r>
        <w:rPr>
          <w:rFonts w:hint="eastAsia" w:ascii="微软雅黑" w:hAnsi="微软雅黑" w:eastAsia="微软雅黑"/>
          <w:sz w:val="24"/>
          <w:highlight w:val="none"/>
        </w:rPr>
        <w:t>架构来设计。</w:t>
      </w:r>
    </w:p>
    <w:p>
      <w:pPr>
        <w:numPr>
          <w:ilvl w:val="0"/>
          <w:numId w:val="21"/>
        </w:numPr>
        <w:ind w:left="426" w:hanging="279"/>
        <w:rPr>
          <w:rFonts w:ascii="微软雅黑" w:hAnsi="微软雅黑" w:eastAsia="微软雅黑"/>
          <w:sz w:val="24"/>
          <w:highlight w:val="none"/>
        </w:rPr>
      </w:pPr>
      <w:bookmarkStart w:id="65" w:name="_Toc40519363"/>
      <w:r>
        <w:rPr>
          <w:rFonts w:hint="eastAsia" w:ascii="微软雅黑" w:hAnsi="微软雅黑" w:eastAsia="微软雅黑"/>
          <w:sz w:val="24"/>
          <w:highlight w:val="none"/>
        </w:rPr>
        <w:t>先进性：系统要利用一些现行的、技术成熟的开发工具来辅助完成系统建设。</w:t>
      </w:r>
    </w:p>
    <w:p>
      <w:pPr>
        <w:numPr>
          <w:ilvl w:val="0"/>
          <w:numId w:val="21"/>
        </w:numPr>
        <w:ind w:left="426" w:hanging="279"/>
        <w:rPr>
          <w:rFonts w:ascii="微软雅黑" w:hAnsi="微软雅黑" w:eastAsia="微软雅黑"/>
          <w:sz w:val="24"/>
          <w:highlight w:val="none"/>
        </w:rPr>
      </w:pPr>
      <w:r>
        <w:rPr>
          <w:rFonts w:hint="eastAsia" w:ascii="微软雅黑" w:hAnsi="微软雅黑" w:eastAsia="微软雅黑"/>
          <w:sz w:val="24"/>
          <w:highlight w:val="none"/>
        </w:rPr>
        <w:t>健壮性：系统稳定可靠，保证每周</w:t>
      </w:r>
      <w:r>
        <w:rPr>
          <w:rFonts w:ascii="微软雅黑" w:hAnsi="微软雅黑" w:eastAsia="微软雅黑"/>
          <w:sz w:val="24"/>
          <w:highlight w:val="none"/>
        </w:rPr>
        <w:t>7</w:t>
      </w:r>
      <w:r>
        <w:rPr>
          <w:rFonts w:hint="eastAsia" w:ascii="微软雅黑" w:hAnsi="微软雅黑" w:eastAsia="微软雅黑"/>
          <w:sz w:val="24"/>
          <w:highlight w:val="none"/>
        </w:rPr>
        <w:t>*</w:t>
      </w:r>
      <w:r>
        <w:rPr>
          <w:rFonts w:ascii="微软雅黑" w:hAnsi="微软雅黑" w:eastAsia="微软雅黑"/>
          <w:sz w:val="24"/>
          <w:highlight w:val="none"/>
        </w:rPr>
        <w:t>24</w:t>
      </w:r>
      <w:r>
        <w:rPr>
          <w:rFonts w:hint="eastAsia" w:ascii="微软雅黑" w:hAnsi="微软雅黑" w:eastAsia="微软雅黑"/>
          <w:sz w:val="24"/>
          <w:highlight w:val="none"/>
        </w:rPr>
        <w:t>小时不间断正常运行。</w:t>
      </w:r>
    </w:p>
    <w:bookmarkEnd w:id="65"/>
    <w:p>
      <w:pPr>
        <w:numPr>
          <w:ilvl w:val="0"/>
          <w:numId w:val="21"/>
        </w:numPr>
        <w:ind w:left="426" w:hanging="279"/>
        <w:rPr>
          <w:rFonts w:ascii="微软雅黑" w:hAnsi="微软雅黑" w:eastAsia="微软雅黑"/>
          <w:sz w:val="24"/>
          <w:highlight w:val="none"/>
        </w:rPr>
      </w:pPr>
      <w:r>
        <w:rPr>
          <w:rFonts w:hint="eastAsia" w:ascii="微软雅黑" w:hAnsi="微软雅黑" w:eastAsia="微软雅黑"/>
          <w:sz w:val="24"/>
          <w:highlight w:val="none"/>
        </w:rPr>
        <w:t>安全性：信息安全要体现在信息管理全过程：收集、录入、传输、储存、交流、查询、反馈、分析、利用、发布；系统的安全主要体现在整个系统的安全稳定和持续的运行。要对设施、技术和管理乃至整个运作体系，建立全面的安全保障体系，并能动态地根据安全检测、评估结果，调整安全策略，运用新的安全技术，进行持续改进，以控制新出现的安全隐患与风险。</w:t>
      </w:r>
    </w:p>
    <w:p>
      <w:pPr>
        <w:numPr>
          <w:ilvl w:val="0"/>
          <w:numId w:val="21"/>
        </w:numPr>
        <w:ind w:left="426" w:hanging="279"/>
        <w:rPr>
          <w:rFonts w:ascii="微软雅黑" w:hAnsi="微软雅黑" w:eastAsia="微软雅黑"/>
          <w:sz w:val="24"/>
          <w:highlight w:val="none"/>
        </w:rPr>
      </w:pPr>
      <w:r>
        <w:rPr>
          <w:rFonts w:hint="eastAsia" w:ascii="微软雅黑" w:hAnsi="微软雅黑" w:eastAsia="微软雅黑"/>
          <w:sz w:val="24"/>
          <w:highlight w:val="none"/>
        </w:rPr>
        <w:t>灵活性：建立灵活多样的多字段查询功能，为用户的组合查询、统计分析和信息利用提供方便；设计多种数据导出格式，如</w:t>
      </w:r>
      <w:r>
        <w:rPr>
          <w:rFonts w:ascii="微软雅黑" w:hAnsi="微软雅黑" w:eastAsia="微软雅黑"/>
          <w:sz w:val="24"/>
          <w:highlight w:val="none"/>
        </w:rPr>
        <w:t xml:space="preserve"> Excel </w:t>
      </w:r>
      <w:r>
        <w:rPr>
          <w:rFonts w:hint="eastAsia" w:ascii="微软雅黑" w:hAnsi="微软雅黑" w:eastAsia="微软雅黑"/>
          <w:sz w:val="24"/>
          <w:highlight w:val="none"/>
        </w:rPr>
        <w:t>和</w:t>
      </w:r>
      <w:r>
        <w:rPr>
          <w:rFonts w:ascii="微软雅黑" w:hAnsi="微软雅黑" w:eastAsia="微软雅黑"/>
          <w:sz w:val="24"/>
          <w:highlight w:val="none"/>
        </w:rPr>
        <w:t xml:space="preserve"> XML</w:t>
      </w:r>
      <w:r>
        <w:rPr>
          <w:rFonts w:hint="eastAsia" w:ascii="微软雅黑" w:hAnsi="微软雅黑" w:eastAsia="微软雅黑"/>
          <w:sz w:val="24"/>
          <w:highlight w:val="none"/>
        </w:rPr>
        <w:t>格式，满足不同用户的数据分析输出需要；建立合理、多样、灵活的数据采集方式，满足不同发展水平的医疗单位的需要。</w:t>
      </w:r>
    </w:p>
    <w:p>
      <w:pPr>
        <w:numPr>
          <w:ilvl w:val="0"/>
          <w:numId w:val="21"/>
        </w:numPr>
        <w:ind w:left="426" w:hanging="279"/>
        <w:rPr>
          <w:rFonts w:ascii="微软雅黑" w:hAnsi="微软雅黑" w:eastAsia="微软雅黑"/>
          <w:sz w:val="24"/>
          <w:highlight w:val="none"/>
        </w:rPr>
      </w:pPr>
      <w:r>
        <w:rPr>
          <w:rFonts w:hint="eastAsia" w:ascii="微软雅黑" w:hAnsi="微软雅黑" w:eastAsia="微软雅黑"/>
          <w:sz w:val="24"/>
          <w:highlight w:val="none"/>
        </w:rPr>
        <w:t>延展性：数据库结构的设计应充分考虑发展和移植的需要，建立系统良好的扩展性和伸缩性，适度冗余也是系统建设的必要环节。</w:t>
      </w:r>
    </w:p>
    <w:p>
      <w:pPr>
        <w:numPr>
          <w:ilvl w:val="0"/>
          <w:numId w:val="21"/>
        </w:numPr>
        <w:ind w:left="426" w:hanging="279"/>
        <w:rPr>
          <w:rFonts w:ascii="微软雅黑" w:hAnsi="微软雅黑" w:eastAsia="微软雅黑"/>
          <w:sz w:val="24"/>
          <w:highlight w:val="none"/>
        </w:rPr>
      </w:pPr>
      <w:r>
        <w:rPr>
          <w:rFonts w:hint="eastAsia" w:ascii="微软雅黑" w:hAnsi="微软雅黑" w:eastAsia="微软雅黑"/>
          <w:sz w:val="24"/>
          <w:highlight w:val="none"/>
        </w:rPr>
        <w:t>完整性：在数据的采集和数据交换环节要确保数据的完整性。</w:t>
      </w:r>
    </w:p>
    <w:p>
      <w:pPr>
        <w:numPr>
          <w:ilvl w:val="0"/>
          <w:numId w:val="21"/>
        </w:numPr>
        <w:ind w:left="426" w:hanging="279"/>
        <w:rPr>
          <w:rFonts w:ascii="微软雅黑" w:hAnsi="微软雅黑" w:eastAsia="微软雅黑"/>
          <w:sz w:val="24"/>
          <w:highlight w:val="none"/>
        </w:rPr>
      </w:pPr>
      <w:r>
        <w:rPr>
          <w:rFonts w:hint="eastAsia" w:ascii="微软雅黑" w:hAnsi="微软雅黑" w:eastAsia="微软雅黑"/>
          <w:sz w:val="24"/>
          <w:highlight w:val="none"/>
        </w:rPr>
        <w:t>友好性：人机界面设计简洁美观、风格统一，利于基层业务人员简单操作。</w:t>
      </w:r>
    </w:p>
    <w:p>
      <w:pPr>
        <w:ind w:firstLine="480"/>
        <w:jc w:val="left"/>
        <w:rPr>
          <w:rFonts w:ascii="微软雅黑" w:hAnsi="微软雅黑" w:eastAsia="微软雅黑" w:cs="宋体"/>
          <w:color w:val="000000"/>
          <w:sz w:val="24"/>
          <w:szCs w:val="24"/>
          <w:highlight w:val="none"/>
        </w:rPr>
      </w:pPr>
    </w:p>
    <w:bookmarkEnd w:id="63"/>
    <w:bookmarkEnd w:id="64"/>
    <w:p>
      <w:pPr>
        <w:pStyle w:val="4"/>
        <w:numPr>
          <w:ilvl w:val="2"/>
          <w:numId w:val="20"/>
        </w:numPr>
        <w:spacing w:before="0" w:after="0" w:line="240" w:lineRule="auto"/>
        <w:rPr>
          <w:rFonts w:ascii="微软雅黑" w:hAnsi="微软雅黑" w:eastAsia="微软雅黑" w:cs="宋体"/>
          <w:color w:val="000000"/>
          <w:sz w:val="28"/>
          <w:szCs w:val="28"/>
          <w:highlight w:val="none"/>
        </w:rPr>
      </w:pPr>
      <w:bookmarkStart w:id="66" w:name="_Toc234859262"/>
      <w:bookmarkStart w:id="67" w:name="_Toc3576"/>
      <w:r>
        <w:rPr>
          <w:rFonts w:hint="eastAsia" w:ascii="微软雅黑" w:hAnsi="微软雅黑" w:eastAsia="微软雅黑" w:cs="宋体"/>
          <w:color w:val="000000"/>
          <w:sz w:val="28"/>
          <w:szCs w:val="28"/>
          <w:highlight w:val="none"/>
        </w:rPr>
        <w:t>系统环境配置要求</w:t>
      </w:r>
      <w:bookmarkEnd w:id="66"/>
      <w:bookmarkEnd w:id="67"/>
    </w:p>
    <w:p>
      <w:pPr>
        <w:ind w:firstLine="480" w:firstLineChars="200"/>
        <w:jc w:val="left"/>
        <w:rPr>
          <w:rFonts w:ascii="微软雅黑" w:hAnsi="微软雅黑" w:eastAsia="微软雅黑" w:cs="宋体"/>
          <w:color w:val="000000"/>
          <w:sz w:val="24"/>
          <w:szCs w:val="24"/>
          <w:highlight w:val="none"/>
        </w:rPr>
      </w:pPr>
      <w:r>
        <w:rPr>
          <w:rFonts w:hint="eastAsia" w:ascii="微软雅黑" w:hAnsi="微软雅黑" w:eastAsia="微软雅黑" w:cs="宋体"/>
          <w:color w:val="000000"/>
          <w:sz w:val="24"/>
          <w:szCs w:val="24"/>
          <w:highlight w:val="none"/>
        </w:rPr>
        <w:t>本项目建设所需的服务器及网络环境</w:t>
      </w:r>
      <w:r>
        <w:rPr>
          <w:rFonts w:ascii="微软雅黑" w:hAnsi="微软雅黑" w:eastAsia="微软雅黑" w:cs="宋体"/>
          <w:color w:val="000000"/>
          <w:sz w:val="24"/>
          <w:szCs w:val="24"/>
          <w:highlight w:val="none"/>
        </w:rPr>
        <w:t>配置</w:t>
      </w:r>
      <w:r>
        <w:rPr>
          <w:rFonts w:hint="eastAsia" w:ascii="微软雅黑" w:hAnsi="微软雅黑" w:eastAsia="微软雅黑" w:cs="宋体"/>
          <w:color w:val="000000"/>
          <w:sz w:val="24"/>
          <w:szCs w:val="24"/>
          <w:highlight w:val="none"/>
        </w:rPr>
        <w:t>，如</w:t>
      </w:r>
      <w:r>
        <w:rPr>
          <w:rFonts w:ascii="微软雅黑" w:hAnsi="微软雅黑" w:eastAsia="微软雅黑" w:cs="宋体"/>
          <w:color w:val="000000"/>
          <w:sz w:val="24"/>
          <w:szCs w:val="24"/>
          <w:highlight w:val="none"/>
        </w:rPr>
        <w:t>服务器、网络、操作系统等环境因素，</w:t>
      </w:r>
      <w:r>
        <w:rPr>
          <w:rFonts w:hint="eastAsia" w:ascii="微软雅黑" w:hAnsi="微软雅黑" w:eastAsia="微软雅黑" w:cs="宋体"/>
          <w:color w:val="000000"/>
          <w:sz w:val="24"/>
          <w:szCs w:val="24"/>
          <w:highlight w:val="none"/>
        </w:rPr>
        <w:t>由投标方给建议方案</w:t>
      </w:r>
      <w:r>
        <w:rPr>
          <w:rFonts w:ascii="微软雅黑" w:hAnsi="微软雅黑" w:eastAsia="微软雅黑" w:cs="宋体"/>
          <w:color w:val="000000"/>
          <w:sz w:val="24"/>
          <w:szCs w:val="24"/>
          <w:highlight w:val="none"/>
        </w:rPr>
        <w:t>。建议方案不限于必须要配置的相关服务器等设备。所谓设备配置方案，涵盖硬件设备和基础平台的系统软件产品，例如操作系统、各类平台级中间件等产品</w:t>
      </w:r>
      <w:r>
        <w:rPr>
          <w:rFonts w:hint="eastAsia" w:ascii="微软雅黑" w:hAnsi="微软雅黑" w:eastAsia="微软雅黑" w:cs="宋体"/>
          <w:color w:val="000000"/>
          <w:sz w:val="24"/>
          <w:szCs w:val="24"/>
          <w:highlight w:val="none"/>
        </w:rPr>
        <w:t>。</w:t>
      </w:r>
    </w:p>
    <w:p>
      <w:pPr>
        <w:ind w:firstLine="480" w:firstLineChars="200"/>
        <w:jc w:val="left"/>
        <w:rPr>
          <w:rFonts w:ascii="微软雅黑" w:hAnsi="微软雅黑" w:eastAsia="微软雅黑" w:cs="宋体"/>
          <w:color w:val="000000"/>
          <w:sz w:val="24"/>
          <w:szCs w:val="24"/>
          <w:highlight w:val="none"/>
        </w:rPr>
      </w:pPr>
    </w:p>
    <w:p>
      <w:pPr>
        <w:pStyle w:val="3"/>
        <w:numPr>
          <w:ilvl w:val="1"/>
          <w:numId w:val="3"/>
        </w:numPr>
        <w:tabs>
          <w:tab w:val="left" w:pos="576"/>
        </w:tabs>
        <w:spacing w:before="0" w:after="0" w:line="240" w:lineRule="auto"/>
        <w:rPr>
          <w:rFonts w:ascii="微软雅黑" w:hAnsi="微软雅黑" w:eastAsia="微软雅黑"/>
          <w:sz w:val="30"/>
          <w:szCs w:val="30"/>
          <w:highlight w:val="none"/>
        </w:rPr>
      </w:pPr>
      <w:bookmarkStart w:id="68" w:name="_Toc315097759"/>
      <w:bookmarkStart w:id="69" w:name="_Toc13804"/>
      <w:r>
        <w:rPr>
          <w:rFonts w:hint="eastAsia" w:ascii="微软雅黑" w:hAnsi="微软雅黑" w:eastAsia="微软雅黑"/>
          <w:sz w:val="30"/>
          <w:szCs w:val="30"/>
          <w:highlight w:val="none"/>
        </w:rPr>
        <w:t>售后服务需求</w:t>
      </w:r>
      <w:bookmarkEnd w:id="68"/>
      <w:bookmarkEnd w:id="69"/>
    </w:p>
    <w:p>
      <w:pPr>
        <w:numPr>
          <w:ilvl w:val="0"/>
          <w:numId w:val="21"/>
        </w:numPr>
        <w:ind w:left="426" w:hanging="279"/>
        <w:rPr>
          <w:rFonts w:ascii="微软雅黑" w:hAnsi="微软雅黑" w:eastAsia="微软雅黑"/>
          <w:sz w:val="24"/>
          <w:highlight w:val="none"/>
        </w:rPr>
      </w:pPr>
      <w:r>
        <w:rPr>
          <w:rFonts w:hint="eastAsia" w:ascii="微软雅黑" w:hAnsi="微软雅黑" w:eastAsia="微软雅黑"/>
          <w:sz w:val="24"/>
          <w:highlight w:val="none"/>
        </w:rPr>
        <w:t>供应商需提供不少于一年的免费质保，质保期</w:t>
      </w:r>
      <w:r>
        <w:rPr>
          <w:rFonts w:ascii="微软雅黑" w:hAnsi="微软雅黑" w:eastAsia="微软雅黑"/>
          <w:sz w:val="24"/>
          <w:highlight w:val="none"/>
        </w:rPr>
        <w:t>从系统整体验收通过之日起计算</w:t>
      </w:r>
      <w:r>
        <w:rPr>
          <w:rFonts w:hint="eastAsia" w:ascii="微软雅黑" w:hAnsi="微软雅黑" w:eastAsia="微软雅黑"/>
          <w:sz w:val="24"/>
          <w:highlight w:val="none"/>
        </w:rPr>
        <w:t>；质保期内免上门费、维修费和系统升级费等。</w:t>
      </w:r>
    </w:p>
    <w:p>
      <w:pPr>
        <w:numPr>
          <w:ilvl w:val="0"/>
          <w:numId w:val="21"/>
        </w:numPr>
        <w:ind w:left="426" w:hanging="279"/>
        <w:rPr>
          <w:rFonts w:ascii="微软雅黑" w:hAnsi="微软雅黑" w:eastAsia="微软雅黑"/>
          <w:sz w:val="24"/>
          <w:highlight w:val="none"/>
        </w:rPr>
      </w:pPr>
      <w:r>
        <w:rPr>
          <w:rFonts w:hint="eastAsia" w:ascii="微软雅黑" w:hAnsi="微软雅黑" w:eastAsia="微软雅黑"/>
          <w:sz w:val="24"/>
          <w:highlight w:val="none"/>
        </w:rPr>
        <w:t>质保期内，供应商需保证7*24小时的服务响应，响应时间不得低于如下标准：接到医院方的通知后1小时内必须做出明确的响应和安排；需提供现场服务的，服务团队须在2小时内达到故障现场；4小时内做出故障诊断报告，常规故障8小时内必须解决。</w:t>
      </w:r>
    </w:p>
    <w:p>
      <w:pPr>
        <w:rPr>
          <w:rFonts w:ascii="宋体" w:hAnsi="宋体"/>
          <w:sz w:val="24"/>
          <w:highlight w:val="none"/>
        </w:rPr>
      </w:pPr>
    </w:p>
    <w:p>
      <w:pPr>
        <w:pStyle w:val="3"/>
        <w:numPr>
          <w:ilvl w:val="1"/>
          <w:numId w:val="3"/>
        </w:numPr>
        <w:tabs>
          <w:tab w:val="left" w:pos="576"/>
        </w:tabs>
        <w:spacing w:before="0" w:after="0" w:line="240" w:lineRule="auto"/>
        <w:rPr>
          <w:rFonts w:ascii="微软雅黑" w:hAnsi="微软雅黑" w:eastAsia="微软雅黑"/>
          <w:sz w:val="30"/>
          <w:szCs w:val="30"/>
          <w:highlight w:val="none"/>
        </w:rPr>
      </w:pPr>
      <w:bookmarkStart w:id="70" w:name="_Toc315097760"/>
      <w:bookmarkStart w:id="71" w:name="_Toc276"/>
      <w:r>
        <w:rPr>
          <w:rFonts w:hint="eastAsia" w:ascii="微软雅黑" w:hAnsi="微软雅黑" w:eastAsia="微软雅黑"/>
          <w:sz w:val="30"/>
          <w:szCs w:val="30"/>
          <w:highlight w:val="none"/>
        </w:rPr>
        <w:t>持续的数据服务需求</w:t>
      </w:r>
      <w:bookmarkEnd w:id="70"/>
      <w:bookmarkEnd w:id="71"/>
    </w:p>
    <w:p>
      <w:pPr>
        <w:spacing w:beforeLines="50" w:line="360" w:lineRule="auto"/>
        <w:ind w:firstLine="480" w:firstLineChars="200"/>
        <w:jc w:val="left"/>
        <w:rPr>
          <w:rFonts w:ascii="微软雅黑" w:hAnsi="微软雅黑" w:eastAsia="微软雅黑" w:cs="宋体"/>
          <w:color w:val="000000"/>
          <w:sz w:val="24"/>
          <w:szCs w:val="24"/>
          <w:highlight w:val="none"/>
        </w:rPr>
      </w:pPr>
      <w:r>
        <w:rPr>
          <w:rFonts w:hint="eastAsia" w:ascii="微软雅黑" w:hAnsi="微软雅黑" w:eastAsia="微软雅黑" w:cs="宋体"/>
          <w:color w:val="000000"/>
          <w:sz w:val="24"/>
          <w:szCs w:val="24"/>
          <w:highlight w:val="none"/>
        </w:rPr>
        <w:t>本项目实施建设的软件系统验收完成后，医院还需要持续产出每年的成本运行数据，并进行分析。因此，投标方需要在投标文件中，就成本数据产出给出详细的服务支持响应，并展示各自已有的成本分析报告。</w:t>
      </w:r>
    </w:p>
    <w:p>
      <w:pPr>
        <w:spacing w:beforeLines="50" w:line="360" w:lineRule="auto"/>
        <w:ind w:firstLine="480" w:firstLineChars="200"/>
        <w:jc w:val="left"/>
        <w:rPr>
          <w:rFonts w:ascii="微软雅黑" w:hAnsi="微软雅黑" w:eastAsia="微软雅黑" w:cs="宋体"/>
          <w:color w:val="000000"/>
          <w:sz w:val="24"/>
          <w:szCs w:val="24"/>
          <w:highlight w:val="none"/>
        </w:rPr>
      </w:pPr>
      <w:r>
        <w:rPr>
          <w:rFonts w:hint="eastAsia" w:ascii="微软雅黑" w:hAnsi="微软雅黑" w:eastAsia="微软雅黑" w:cs="宋体"/>
          <w:color w:val="000000"/>
          <w:sz w:val="24"/>
          <w:szCs w:val="24"/>
          <w:highlight w:val="none"/>
        </w:rPr>
        <w:t>注意：数据产出的服务支持不属于本次招标范围，但会对本次招标的结果产生影响。</w:t>
      </w:r>
    </w:p>
    <w:p>
      <w:pPr>
        <w:rPr>
          <w:rFonts w:ascii="微软雅黑" w:hAnsi="微软雅黑" w:eastAsia="微软雅黑"/>
          <w:highlight w:val="none"/>
        </w:rPr>
      </w:pPr>
    </w:p>
    <w:p>
      <w:pPr>
        <w:pStyle w:val="2"/>
        <w:numPr>
          <w:ilvl w:val="0"/>
          <w:numId w:val="0"/>
        </w:numPr>
        <w:spacing w:before="0" w:after="0" w:line="240" w:lineRule="auto"/>
        <w:jc w:val="left"/>
        <w:rPr>
          <w:rFonts w:ascii="微软雅黑" w:hAnsi="微软雅黑" w:eastAsia="微软雅黑" w:cs="宋体"/>
          <w:color w:val="000000"/>
          <w:sz w:val="32"/>
          <w:szCs w:val="32"/>
          <w:highlight w:val="none"/>
        </w:rPr>
      </w:pPr>
      <w:bookmarkStart w:id="72" w:name="_Toc29573"/>
      <w:bookmarkStart w:id="73" w:name="_Toc294263062"/>
      <w:r>
        <w:rPr>
          <w:rFonts w:hint="eastAsia" w:ascii="微软雅黑" w:hAnsi="微软雅黑" w:eastAsia="微软雅黑" w:cs="宋体"/>
          <w:color w:val="000000"/>
          <w:sz w:val="32"/>
          <w:szCs w:val="32"/>
          <w:highlight w:val="none"/>
        </w:rPr>
        <w:t>四、项目建设功能扩展预留</w:t>
      </w:r>
      <w:bookmarkEnd w:id="72"/>
      <w:bookmarkEnd w:id="73"/>
    </w:p>
    <w:p>
      <w:pPr>
        <w:spacing w:line="360" w:lineRule="auto"/>
        <w:ind w:firstLine="480" w:firstLineChars="200"/>
        <w:jc w:val="left"/>
        <w:rPr>
          <w:rFonts w:hint="eastAsia" w:ascii="微软雅黑" w:hAnsi="微软雅黑" w:eastAsia="微软雅黑" w:cs="宋体"/>
          <w:color w:val="000000"/>
          <w:sz w:val="24"/>
          <w:szCs w:val="24"/>
          <w:highlight w:val="none"/>
        </w:rPr>
      </w:pPr>
      <w:r>
        <w:rPr>
          <w:rFonts w:hint="eastAsia" w:ascii="微软雅黑" w:hAnsi="微软雅黑" w:eastAsia="微软雅黑" w:cs="宋体"/>
          <w:color w:val="000000"/>
          <w:sz w:val="24"/>
          <w:szCs w:val="24"/>
          <w:highlight w:val="none"/>
        </w:rPr>
        <w:t>为更好贯彻并落实党的十九大精神，深入推动实施《国务院办公厅关于建立现代医院管理制度的指导意见》(国办发〔2</w:t>
      </w:r>
    </w:p>
    <w:p>
      <w:pPr>
        <w:spacing w:line="360" w:lineRule="auto"/>
        <w:ind w:firstLine="480" w:firstLineChars="200"/>
        <w:jc w:val="left"/>
        <w:rPr>
          <w:rFonts w:ascii="微软雅黑" w:hAnsi="微软雅黑" w:eastAsia="微软雅黑" w:cs="宋体"/>
          <w:color w:val="000000"/>
          <w:sz w:val="24"/>
          <w:szCs w:val="24"/>
          <w:highlight w:val="none"/>
        </w:rPr>
      </w:pPr>
      <w:r>
        <w:rPr>
          <w:rFonts w:hint="eastAsia" w:ascii="微软雅黑" w:hAnsi="微软雅黑" w:eastAsia="微软雅黑" w:cs="宋体"/>
          <w:color w:val="000000"/>
          <w:sz w:val="24"/>
          <w:szCs w:val="24"/>
          <w:highlight w:val="none"/>
          <w:lang w:val="en-US" w:eastAsia="zh-CN"/>
        </w:rPr>
        <w:t>+</w:t>
      </w:r>
      <w:r>
        <w:rPr>
          <w:rFonts w:hint="eastAsia" w:ascii="微软雅黑" w:hAnsi="微软雅黑" w:eastAsia="微软雅黑" w:cs="宋体"/>
          <w:color w:val="000000"/>
          <w:sz w:val="24"/>
          <w:szCs w:val="24"/>
          <w:highlight w:val="none"/>
        </w:rPr>
        <w:t>0</w:t>
      </w:r>
      <w:r>
        <w:rPr>
          <w:rFonts w:ascii="微软雅黑" w:hAnsi="微软雅黑" w:eastAsia="微软雅黑" w:cs="宋体"/>
          <w:color w:val="000000"/>
          <w:sz w:val="24"/>
          <w:szCs w:val="24"/>
          <w:highlight w:val="none"/>
        </w:rPr>
        <w:t>17</w:t>
      </w:r>
      <w:r>
        <w:rPr>
          <w:rFonts w:hint="eastAsia" w:ascii="微软雅黑" w:hAnsi="微软雅黑" w:eastAsia="微软雅黑" w:cs="宋体"/>
          <w:color w:val="000000"/>
          <w:sz w:val="24"/>
          <w:szCs w:val="24"/>
          <w:highlight w:val="none"/>
        </w:rPr>
        <w:t>〕6</w:t>
      </w:r>
      <w:r>
        <w:rPr>
          <w:rFonts w:ascii="微软雅黑" w:hAnsi="微软雅黑" w:eastAsia="微软雅黑" w:cs="宋体"/>
          <w:color w:val="000000"/>
          <w:sz w:val="24"/>
          <w:szCs w:val="24"/>
          <w:highlight w:val="none"/>
        </w:rPr>
        <w:t>7</w:t>
      </w:r>
      <w:r>
        <w:rPr>
          <w:rFonts w:hint="eastAsia" w:ascii="微软雅黑" w:hAnsi="微软雅黑" w:eastAsia="微软雅黑" w:cs="宋体"/>
          <w:color w:val="000000"/>
          <w:sz w:val="24"/>
          <w:szCs w:val="24"/>
          <w:highlight w:val="none"/>
        </w:rPr>
        <w:t>号)、《国务院关于印发“十三五”深化医药卫生体制改革规划的通知》(国发〔201</w:t>
      </w:r>
      <w:r>
        <w:rPr>
          <w:rFonts w:ascii="微软雅黑" w:hAnsi="微软雅黑" w:eastAsia="微软雅黑" w:cs="宋体"/>
          <w:color w:val="000000"/>
          <w:sz w:val="24"/>
          <w:szCs w:val="24"/>
          <w:highlight w:val="none"/>
        </w:rPr>
        <w:t>6</w:t>
      </w:r>
      <w:r>
        <w:rPr>
          <w:rFonts w:hint="eastAsia" w:ascii="微软雅黑" w:hAnsi="微软雅黑" w:eastAsia="微软雅黑" w:cs="宋体"/>
          <w:color w:val="000000"/>
          <w:sz w:val="24"/>
          <w:szCs w:val="24"/>
          <w:highlight w:val="none"/>
        </w:rPr>
        <w:t>〕</w:t>
      </w:r>
      <w:r>
        <w:rPr>
          <w:rFonts w:ascii="微软雅黑" w:hAnsi="微软雅黑" w:eastAsia="微软雅黑" w:cs="宋体"/>
          <w:color w:val="000000"/>
          <w:sz w:val="24"/>
          <w:szCs w:val="24"/>
          <w:highlight w:val="none"/>
        </w:rPr>
        <w:t>78</w:t>
      </w:r>
      <w:r>
        <w:rPr>
          <w:rFonts w:hint="eastAsia" w:ascii="微软雅黑" w:hAnsi="微软雅黑" w:eastAsia="微软雅黑" w:cs="宋体"/>
          <w:color w:val="000000"/>
          <w:sz w:val="24"/>
          <w:szCs w:val="24"/>
          <w:highlight w:val="none"/>
        </w:rPr>
        <w:t>号)、《国务院办公厅关于进一步深化基本医疗保险支付方式改革的指导意见》(国办发〔201</w:t>
      </w:r>
      <w:r>
        <w:rPr>
          <w:rFonts w:ascii="微软雅黑" w:hAnsi="微软雅黑" w:eastAsia="微软雅黑" w:cs="宋体"/>
          <w:color w:val="000000"/>
          <w:sz w:val="24"/>
          <w:szCs w:val="24"/>
          <w:highlight w:val="none"/>
        </w:rPr>
        <w:t>7</w:t>
      </w:r>
      <w:r>
        <w:rPr>
          <w:rFonts w:hint="eastAsia" w:ascii="微软雅黑" w:hAnsi="微软雅黑" w:eastAsia="微软雅黑" w:cs="宋体"/>
          <w:color w:val="000000"/>
          <w:sz w:val="24"/>
          <w:szCs w:val="24"/>
          <w:highlight w:val="none"/>
        </w:rPr>
        <w:t>〕</w:t>
      </w:r>
      <w:r>
        <w:rPr>
          <w:rFonts w:ascii="微软雅黑" w:hAnsi="微软雅黑" w:eastAsia="微软雅黑" w:cs="宋体"/>
          <w:color w:val="000000"/>
          <w:sz w:val="24"/>
          <w:szCs w:val="24"/>
          <w:highlight w:val="none"/>
        </w:rPr>
        <w:t>55</w:t>
      </w:r>
      <w:r>
        <w:rPr>
          <w:rFonts w:hint="eastAsia" w:ascii="微软雅黑" w:hAnsi="微软雅黑" w:eastAsia="微软雅黑" w:cs="宋体"/>
          <w:color w:val="000000"/>
          <w:sz w:val="24"/>
          <w:szCs w:val="24"/>
          <w:highlight w:val="none"/>
        </w:rPr>
        <w:t>号)，按照政事分开、管办分开、医药分开、营利性和非营利性分开的要求，以破除以药补医机制为关键环节，全面深化公立医院管理体制、补偿机制、价格机制、药品采购、人事编制、收入分配、医保制度、监管机制等综合改革。按照“总量控制、结构调整、有升有降、逐步到位”的原则，调整医疗技术服务价格，体现医务人员技术劳务价值。深化医保支付方式改革，加快推进按病种、按人头付费等为主的付费方式改革。严格临床路径管理，合理确定付费标准，建立医疗保险经办机构和定点医疗机构之间谈判协商机制和风险分担机制。利用信息化手段，加强对药品使用率、药占比、次均费用、参保人员负担水平、住院率、平均住院日、复诊率、人次人头比、转诊转院率、手术和择期手术率等指标的监控。</w:t>
      </w:r>
    </w:p>
    <w:p>
      <w:pPr>
        <w:spacing w:line="360" w:lineRule="auto"/>
        <w:ind w:firstLine="480" w:firstLineChars="200"/>
        <w:jc w:val="left"/>
        <w:rPr>
          <w:rFonts w:ascii="微软雅黑" w:hAnsi="微软雅黑" w:eastAsia="微软雅黑" w:cs="宋体"/>
          <w:color w:val="000000"/>
          <w:sz w:val="24"/>
          <w:szCs w:val="24"/>
          <w:highlight w:val="none"/>
        </w:rPr>
      </w:pPr>
      <w:r>
        <w:rPr>
          <w:rFonts w:hint="eastAsia" w:ascii="微软雅黑" w:hAnsi="微软雅黑" w:eastAsia="微软雅黑" w:cs="宋体"/>
          <w:color w:val="000000"/>
          <w:sz w:val="24"/>
          <w:szCs w:val="24"/>
          <w:highlight w:val="none"/>
        </w:rPr>
        <w:t>这些都是要求医院在综合管理的基础上，进一步加强对医疗行为价格监控以及医保支付方式探索的深化管理；在医院现有的管理体制基础上，向更能提高医院综合管控的项目成本核算、病种成本核算、综合绩效奖金管理、DRG管理等多纬度等深方向发展，优化医院内部机制，挖掘医院真正的潜力，进一步提升医院的服务能力。</w:t>
      </w:r>
    </w:p>
    <w:p>
      <w:pPr>
        <w:spacing w:line="360" w:lineRule="auto"/>
        <w:ind w:firstLine="480" w:firstLineChars="200"/>
        <w:jc w:val="left"/>
        <w:rPr>
          <w:rFonts w:ascii="微软雅黑" w:hAnsi="微软雅黑" w:eastAsia="微软雅黑" w:cs="宋体"/>
          <w:color w:val="000000"/>
          <w:sz w:val="24"/>
          <w:szCs w:val="24"/>
          <w:highlight w:val="none"/>
        </w:rPr>
      </w:pPr>
      <w:r>
        <w:rPr>
          <w:rFonts w:hint="eastAsia" w:ascii="微软雅黑" w:hAnsi="微软雅黑" w:eastAsia="微软雅黑" w:cs="宋体"/>
          <w:color w:val="000000"/>
          <w:sz w:val="24"/>
          <w:szCs w:val="24"/>
          <w:highlight w:val="none"/>
        </w:rPr>
        <w:t>因此，医院综合运营精细化管理项目的建设，在满足医院现阶段目标的基础上，还要对未来的项目成本核算、病种成本核算、综合绩效奖金管理、DRG管理等预留相关接口，并简单提供相关的解决方案。建议</w:t>
      </w:r>
      <w:bookmarkStart w:id="74" w:name="_GoBack"/>
      <w:bookmarkEnd w:id="74"/>
      <w:r>
        <w:rPr>
          <w:rFonts w:hint="eastAsia" w:ascii="微软雅黑" w:hAnsi="微软雅黑" w:eastAsia="微软雅黑" w:cs="宋体"/>
          <w:color w:val="000000"/>
          <w:sz w:val="24"/>
          <w:szCs w:val="24"/>
          <w:highlight w:val="none"/>
        </w:rPr>
        <w:t>项目成本核算包含作业成本法和比例系数法，病种成本核算采用项目叠加法。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等线">
    <w:altName w:val="宋体"/>
    <w:panose1 w:val="00000000000000000000"/>
    <w:charset w:val="86"/>
    <w:family w:val="auto"/>
    <w:pitch w:val="default"/>
    <w:sig w:usb0="00000000" w:usb1="00000000"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32536"/>
    <w:multiLevelType w:val="multilevel"/>
    <w:tmpl w:val="0EA32536"/>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0F5B3A1D"/>
    <w:multiLevelType w:val="multilevel"/>
    <w:tmpl w:val="0F5B3A1D"/>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
    <w:nsid w:val="16810A24"/>
    <w:multiLevelType w:val="multilevel"/>
    <w:tmpl w:val="16810A24"/>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22F07763"/>
    <w:multiLevelType w:val="multilevel"/>
    <w:tmpl w:val="22F0776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232155FC"/>
    <w:multiLevelType w:val="multilevel"/>
    <w:tmpl w:val="232155FC"/>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
    <w:nsid w:val="25EF05E5"/>
    <w:multiLevelType w:val="multilevel"/>
    <w:tmpl w:val="25EF05E5"/>
    <w:lvl w:ilvl="0" w:tentative="0">
      <w:start w:val="1"/>
      <w:numFmt w:val="decimal"/>
      <w:lvlText w:val="%1)"/>
      <w:lvlJc w:val="left"/>
      <w:pPr>
        <w:ind w:left="842" w:hanging="420"/>
      </w:pPr>
      <w:rPr>
        <w:rFonts w:cs="Times New Roman"/>
      </w:rPr>
    </w:lvl>
    <w:lvl w:ilvl="1" w:tentative="0">
      <w:start w:val="1"/>
      <w:numFmt w:val="lowerLetter"/>
      <w:lvlText w:val="%2)"/>
      <w:lvlJc w:val="left"/>
      <w:pPr>
        <w:ind w:left="1262" w:hanging="420"/>
      </w:pPr>
      <w:rPr>
        <w:rFonts w:cs="Times New Roman"/>
      </w:rPr>
    </w:lvl>
    <w:lvl w:ilvl="2" w:tentative="0">
      <w:start w:val="1"/>
      <w:numFmt w:val="lowerRoman"/>
      <w:lvlText w:val="%3."/>
      <w:lvlJc w:val="right"/>
      <w:pPr>
        <w:ind w:left="1682" w:hanging="420"/>
      </w:pPr>
      <w:rPr>
        <w:rFonts w:cs="Times New Roman"/>
      </w:rPr>
    </w:lvl>
    <w:lvl w:ilvl="3" w:tentative="0">
      <w:start w:val="1"/>
      <w:numFmt w:val="decimal"/>
      <w:lvlText w:val="%4."/>
      <w:lvlJc w:val="left"/>
      <w:pPr>
        <w:ind w:left="2102" w:hanging="420"/>
      </w:pPr>
      <w:rPr>
        <w:rFonts w:cs="Times New Roman"/>
      </w:rPr>
    </w:lvl>
    <w:lvl w:ilvl="4" w:tentative="0">
      <w:start w:val="1"/>
      <w:numFmt w:val="lowerLetter"/>
      <w:lvlText w:val="%5)"/>
      <w:lvlJc w:val="left"/>
      <w:pPr>
        <w:ind w:left="2522" w:hanging="420"/>
      </w:pPr>
      <w:rPr>
        <w:rFonts w:cs="Times New Roman"/>
      </w:rPr>
    </w:lvl>
    <w:lvl w:ilvl="5" w:tentative="0">
      <w:start w:val="1"/>
      <w:numFmt w:val="lowerRoman"/>
      <w:lvlText w:val="%6."/>
      <w:lvlJc w:val="right"/>
      <w:pPr>
        <w:ind w:left="2942" w:hanging="420"/>
      </w:pPr>
      <w:rPr>
        <w:rFonts w:cs="Times New Roman"/>
      </w:rPr>
    </w:lvl>
    <w:lvl w:ilvl="6" w:tentative="0">
      <w:start w:val="1"/>
      <w:numFmt w:val="decimal"/>
      <w:lvlText w:val="%7."/>
      <w:lvlJc w:val="left"/>
      <w:pPr>
        <w:ind w:left="3362" w:hanging="420"/>
      </w:pPr>
      <w:rPr>
        <w:rFonts w:cs="Times New Roman"/>
      </w:rPr>
    </w:lvl>
    <w:lvl w:ilvl="7" w:tentative="0">
      <w:start w:val="1"/>
      <w:numFmt w:val="lowerLetter"/>
      <w:lvlText w:val="%8)"/>
      <w:lvlJc w:val="left"/>
      <w:pPr>
        <w:ind w:left="3782" w:hanging="420"/>
      </w:pPr>
      <w:rPr>
        <w:rFonts w:cs="Times New Roman"/>
      </w:rPr>
    </w:lvl>
    <w:lvl w:ilvl="8" w:tentative="0">
      <w:start w:val="1"/>
      <w:numFmt w:val="lowerRoman"/>
      <w:lvlText w:val="%9."/>
      <w:lvlJc w:val="right"/>
      <w:pPr>
        <w:ind w:left="4202" w:hanging="420"/>
      </w:pPr>
      <w:rPr>
        <w:rFonts w:cs="Times New Roman"/>
      </w:rPr>
    </w:lvl>
  </w:abstractNum>
  <w:abstractNum w:abstractNumId="6">
    <w:nsid w:val="2B8A0215"/>
    <w:multiLevelType w:val="multilevel"/>
    <w:tmpl w:val="2B8A0215"/>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7">
    <w:nsid w:val="2FAC1846"/>
    <w:multiLevelType w:val="multilevel"/>
    <w:tmpl w:val="2FAC1846"/>
    <w:lvl w:ilvl="0" w:tentative="0">
      <w:start w:val="1"/>
      <w:numFmt w:val="decimal"/>
      <w:lvlText w:val="%1"/>
      <w:lvlJc w:val="left"/>
      <w:pPr>
        <w:tabs>
          <w:tab w:val="left" w:pos="432"/>
        </w:tabs>
        <w:ind w:left="432" w:hanging="432"/>
      </w:pPr>
    </w:lvl>
    <w:lvl w:ilvl="1" w:tentative="0">
      <w:start w:val="1"/>
      <w:numFmt w:val="decimal"/>
      <w:lvlText w:val="%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8">
    <w:nsid w:val="319441F1"/>
    <w:multiLevelType w:val="multilevel"/>
    <w:tmpl w:val="319441F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39C50AA5"/>
    <w:multiLevelType w:val="multilevel"/>
    <w:tmpl w:val="39C50AA5"/>
    <w:lvl w:ilvl="0" w:tentative="0">
      <w:start w:val="1"/>
      <w:numFmt w:val="decimal"/>
      <w:lvlText w:val="%1"/>
      <w:lvlJc w:val="left"/>
      <w:pPr>
        <w:tabs>
          <w:tab w:val="left" w:pos="432"/>
        </w:tabs>
        <w:ind w:left="432" w:hanging="432"/>
      </w:pPr>
    </w:lvl>
    <w:lvl w:ilvl="1" w:tentative="0">
      <w:start w:val="1"/>
      <w:numFmt w:val="decimal"/>
      <w:lvlText w:val="%2、"/>
      <w:lvlJc w:val="left"/>
      <w:pPr>
        <w:tabs>
          <w:tab w:val="left" w:pos="576"/>
        </w:tabs>
        <w:ind w:left="576" w:hanging="576"/>
      </w:pPr>
      <w:rPr>
        <w:rFonts w:hint="eastAsia"/>
      </w:rPr>
    </w:lvl>
    <w:lvl w:ilvl="2" w:tentative="0">
      <w:start w:val="1"/>
      <w:numFmt w:val="decimal"/>
      <w:lvlText w:val="1.%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0">
    <w:nsid w:val="3BE44730"/>
    <w:multiLevelType w:val="multilevel"/>
    <w:tmpl w:val="3BE44730"/>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1">
    <w:nsid w:val="41A643F8"/>
    <w:multiLevelType w:val="multilevel"/>
    <w:tmpl w:val="41A643F8"/>
    <w:lvl w:ilvl="0" w:tentative="0">
      <w:start w:val="1"/>
      <w:numFmt w:val="decimal"/>
      <w:pStyle w:val="2"/>
      <w:lvlText w:val="%1"/>
      <w:lvlJc w:val="left"/>
      <w:pPr>
        <w:tabs>
          <w:tab w:val="left" w:pos="432"/>
        </w:tabs>
        <w:ind w:left="432" w:hanging="432"/>
      </w:pPr>
    </w:lvl>
    <w:lvl w:ilvl="1" w:tentative="0">
      <w:start w:val="1"/>
      <w:numFmt w:val="decimal"/>
      <w:lvlText w:val="%2、"/>
      <w:lvlJc w:val="left"/>
      <w:pPr>
        <w:tabs>
          <w:tab w:val="left" w:pos="576"/>
        </w:tabs>
        <w:ind w:left="576" w:hanging="576"/>
      </w:pPr>
      <w:rPr>
        <w:rFonts w:hint="eastAsia"/>
      </w:rPr>
    </w:lvl>
    <w:lvl w:ilvl="2" w:tentative="0">
      <w:start w:val="1"/>
      <w:numFmt w:val="decimal"/>
      <w:pStyle w:val="4"/>
      <w:lvlText w:val="%1.%2.%3"/>
      <w:lvlJc w:val="left"/>
      <w:pPr>
        <w:tabs>
          <w:tab w:val="left" w:pos="720"/>
        </w:tabs>
        <w:ind w:left="720" w:hanging="720"/>
      </w:pPr>
    </w:lvl>
    <w:lvl w:ilvl="3" w:tentative="0">
      <w:start w:val="1"/>
      <w:numFmt w:val="decimal"/>
      <w:pStyle w:val="5"/>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2">
    <w:nsid w:val="43182A24"/>
    <w:multiLevelType w:val="multilevel"/>
    <w:tmpl w:val="43182A2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3">
    <w:nsid w:val="52CF0FC5"/>
    <w:multiLevelType w:val="multilevel"/>
    <w:tmpl w:val="52CF0FC5"/>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4">
    <w:nsid w:val="57576347"/>
    <w:multiLevelType w:val="multilevel"/>
    <w:tmpl w:val="57576347"/>
    <w:lvl w:ilvl="0" w:tentative="0">
      <w:start w:val="1"/>
      <w:numFmt w:val="decimal"/>
      <w:lvlText w:val="%1"/>
      <w:lvlJc w:val="left"/>
      <w:pPr>
        <w:tabs>
          <w:tab w:val="left" w:pos="432"/>
        </w:tabs>
        <w:ind w:left="432" w:hanging="432"/>
      </w:pPr>
    </w:lvl>
    <w:lvl w:ilvl="1" w:tentative="0">
      <w:start w:val="1"/>
      <w:numFmt w:val="decimal"/>
      <w:lvlText w:val="%2、"/>
      <w:lvlJc w:val="left"/>
      <w:pPr>
        <w:tabs>
          <w:tab w:val="left" w:pos="576"/>
        </w:tabs>
        <w:ind w:left="576" w:hanging="576"/>
      </w:pPr>
      <w:rPr>
        <w:rFonts w:hint="eastAsia"/>
      </w:rPr>
    </w:lvl>
    <w:lvl w:ilvl="2" w:tentative="0">
      <w:start w:val="1"/>
      <w:numFmt w:val="decimal"/>
      <w:lvlText w:val="3.%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5">
    <w:nsid w:val="5B116547"/>
    <w:multiLevelType w:val="multilevel"/>
    <w:tmpl w:val="5B116547"/>
    <w:lvl w:ilvl="0" w:tentative="0">
      <w:start w:val="1"/>
      <w:numFmt w:val="decimal"/>
      <w:lvlText w:val="（%1）"/>
      <w:lvlJc w:val="left"/>
      <w:pPr>
        <w:ind w:left="902" w:hanging="420"/>
      </w:pPr>
      <w:rPr>
        <w:rFonts w:hint="eastAsia"/>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6">
    <w:nsid w:val="5FE22A0C"/>
    <w:multiLevelType w:val="multilevel"/>
    <w:tmpl w:val="5FE22A0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74262EBE"/>
    <w:multiLevelType w:val="multilevel"/>
    <w:tmpl w:val="74262EBE"/>
    <w:lvl w:ilvl="0" w:tentative="0">
      <w:start w:val="1"/>
      <w:numFmt w:val="decimal"/>
      <w:lvlText w:val="%1"/>
      <w:lvlJc w:val="left"/>
      <w:pPr>
        <w:tabs>
          <w:tab w:val="left" w:pos="432"/>
        </w:tabs>
        <w:ind w:left="432" w:hanging="432"/>
      </w:pPr>
    </w:lvl>
    <w:lvl w:ilvl="1" w:tentative="0">
      <w:start w:val="1"/>
      <w:numFmt w:val="decimal"/>
      <w:lvlText w:val="%2、"/>
      <w:lvlJc w:val="left"/>
      <w:pPr>
        <w:tabs>
          <w:tab w:val="left" w:pos="576"/>
        </w:tabs>
        <w:ind w:left="576" w:hanging="576"/>
      </w:pPr>
      <w:rPr>
        <w:rFonts w:hint="eastAsia"/>
      </w:rPr>
    </w:lvl>
    <w:lvl w:ilvl="2" w:tentative="0">
      <w:start w:val="1"/>
      <w:numFmt w:val="decimal"/>
      <w:lvlText w:val="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8">
    <w:nsid w:val="7822720A"/>
    <w:multiLevelType w:val="multilevel"/>
    <w:tmpl w:val="7822720A"/>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9">
    <w:nsid w:val="7FF40CA9"/>
    <w:multiLevelType w:val="multilevel"/>
    <w:tmpl w:val="7FF40CA9"/>
    <w:lvl w:ilvl="0" w:tentative="0">
      <w:start w:val="1"/>
      <w:numFmt w:val="bullet"/>
      <w:lvlText w:val=""/>
      <w:lvlJc w:val="left"/>
      <w:pPr>
        <w:ind w:left="851" w:hanging="420"/>
      </w:pPr>
      <w:rPr>
        <w:rFonts w:hint="default" w:ascii="Wingdings" w:hAnsi="Wingdings"/>
      </w:rPr>
    </w:lvl>
    <w:lvl w:ilvl="1" w:tentative="0">
      <w:start w:val="1"/>
      <w:numFmt w:val="bullet"/>
      <w:lvlText w:val=""/>
      <w:lvlJc w:val="left"/>
      <w:pPr>
        <w:ind w:left="1271" w:hanging="420"/>
      </w:pPr>
      <w:rPr>
        <w:rFonts w:hint="default" w:ascii="Wingdings" w:hAnsi="Wingdings"/>
      </w:rPr>
    </w:lvl>
    <w:lvl w:ilvl="2" w:tentative="0">
      <w:start w:val="1"/>
      <w:numFmt w:val="bullet"/>
      <w:lvlText w:val=""/>
      <w:lvlJc w:val="left"/>
      <w:pPr>
        <w:ind w:left="1691" w:hanging="420"/>
      </w:pPr>
      <w:rPr>
        <w:rFonts w:hint="default" w:ascii="Wingdings" w:hAnsi="Wingdings"/>
      </w:rPr>
    </w:lvl>
    <w:lvl w:ilvl="3" w:tentative="0">
      <w:start w:val="1"/>
      <w:numFmt w:val="bullet"/>
      <w:lvlText w:val=""/>
      <w:lvlJc w:val="left"/>
      <w:pPr>
        <w:ind w:left="2111" w:hanging="420"/>
      </w:pPr>
      <w:rPr>
        <w:rFonts w:hint="default" w:ascii="Wingdings" w:hAnsi="Wingdings"/>
      </w:rPr>
    </w:lvl>
    <w:lvl w:ilvl="4" w:tentative="0">
      <w:start w:val="1"/>
      <w:numFmt w:val="bullet"/>
      <w:lvlText w:val=""/>
      <w:lvlJc w:val="left"/>
      <w:pPr>
        <w:ind w:left="2531" w:hanging="420"/>
      </w:pPr>
      <w:rPr>
        <w:rFonts w:hint="default" w:ascii="Wingdings" w:hAnsi="Wingdings"/>
      </w:rPr>
    </w:lvl>
    <w:lvl w:ilvl="5" w:tentative="0">
      <w:start w:val="1"/>
      <w:numFmt w:val="bullet"/>
      <w:lvlText w:val=""/>
      <w:lvlJc w:val="left"/>
      <w:pPr>
        <w:ind w:left="2951" w:hanging="420"/>
      </w:pPr>
      <w:rPr>
        <w:rFonts w:hint="default" w:ascii="Wingdings" w:hAnsi="Wingdings"/>
      </w:rPr>
    </w:lvl>
    <w:lvl w:ilvl="6" w:tentative="0">
      <w:start w:val="1"/>
      <w:numFmt w:val="bullet"/>
      <w:lvlText w:val=""/>
      <w:lvlJc w:val="left"/>
      <w:pPr>
        <w:ind w:left="3371" w:hanging="420"/>
      </w:pPr>
      <w:rPr>
        <w:rFonts w:hint="default" w:ascii="Wingdings" w:hAnsi="Wingdings"/>
      </w:rPr>
    </w:lvl>
    <w:lvl w:ilvl="7" w:tentative="0">
      <w:start w:val="1"/>
      <w:numFmt w:val="bullet"/>
      <w:lvlText w:val=""/>
      <w:lvlJc w:val="left"/>
      <w:pPr>
        <w:ind w:left="3791" w:hanging="420"/>
      </w:pPr>
      <w:rPr>
        <w:rFonts w:hint="default" w:ascii="Wingdings" w:hAnsi="Wingdings"/>
      </w:rPr>
    </w:lvl>
    <w:lvl w:ilvl="8" w:tentative="0">
      <w:start w:val="1"/>
      <w:numFmt w:val="bullet"/>
      <w:lvlText w:val=""/>
      <w:lvlJc w:val="left"/>
      <w:pPr>
        <w:ind w:left="4211" w:hanging="420"/>
      </w:pPr>
      <w:rPr>
        <w:rFonts w:hint="default" w:ascii="Wingdings" w:hAnsi="Wingdings"/>
      </w:rPr>
    </w:lvl>
  </w:abstractNum>
  <w:num w:numId="1">
    <w:abstractNumId w:val="11"/>
  </w:num>
  <w:num w:numId="2">
    <w:abstractNumId w:val="2"/>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7"/>
  </w:num>
  <w:num w:numId="6">
    <w:abstractNumId w:val="3"/>
  </w:num>
  <w:num w:numId="7">
    <w:abstractNumId w:val="8"/>
  </w:num>
  <w:num w:numId="8">
    <w:abstractNumId w:val="16"/>
  </w:num>
  <w:num w:numId="9">
    <w:abstractNumId w:val="17"/>
  </w:num>
  <w:num w:numId="10">
    <w:abstractNumId w:val="0"/>
  </w:num>
  <w:num w:numId="11">
    <w:abstractNumId w:val="5"/>
  </w:num>
  <w:num w:numId="12">
    <w:abstractNumId w:val="15"/>
  </w:num>
  <w:num w:numId="13">
    <w:abstractNumId w:val="18"/>
  </w:num>
  <w:num w:numId="14">
    <w:abstractNumId w:val="4"/>
  </w:num>
  <w:num w:numId="15">
    <w:abstractNumId w:val="19"/>
  </w:num>
  <w:num w:numId="16">
    <w:abstractNumId w:val="1"/>
  </w:num>
  <w:num w:numId="17">
    <w:abstractNumId w:val="13"/>
  </w:num>
  <w:num w:numId="18">
    <w:abstractNumId w:val="6"/>
  </w:num>
  <w:num w:numId="19">
    <w:abstractNumId w:val="10"/>
  </w:num>
  <w:num w:numId="20">
    <w:abstractNumId w:val="14"/>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50178"/>
    <w:rsid w:val="16D752BE"/>
    <w:rsid w:val="42085E2E"/>
    <w:rsid w:val="458465D0"/>
    <w:rsid w:val="6D535020"/>
    <w:rsid w:val="7FF50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qFormat/>
    <w:uiPriority w:val="9"/>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cs="Cambria"/>
      <w:b/>
      <w:bCs/>
      <w:sz w:val="32"/>
      <w:szCs w:val="32"/>
    </w:rPr>
  </w:style>
  <w:style w:type="paragraph" w:styleId="4">
    <w:name w:val="heading 3"/>
    <w:basedOn w:val="1"/>
    <w:next w:val="1"/>
    <w:qFormat/>
    <w:uiPriority w:val="9"/>
    <w:pPr>
      <w:keepNext/>
      <w:keepLines/>
      <w:numPr>
        <w:ilvl w:val="2"/>
        <w:numId w:val="1"/>
      </w:numPr>
      <w:spacing w:before="260" w:after="260" w:line="416" w:lineRule="auto"/>
      <w:outlineLvl w:val="2"/>
    </w:pPr>
    <w:rPr>
      <w:b/>
      <w:bCs/>
      <w:sz w:val="32"/>
      <w:szCs w:val="32"/>
    </w:rPr>
  </w:style>
  <w:style w:type="paragraph" w:styleId="5">
    <w:name w:val="heading 4"/>
    <w:basedOn w:val="1"/>
    <w:next w:val="1"/>
    <w:qFormat/>
    <w:uiPriority w:val="9"/>
    <w:pPr>
      <w:keepNext/>
      <w:keepLines/>
      <w:numPr>
        <w:ilvl w:val="3"/>
        <w:numId w:val="1"/>
      </w:numPr>
      <w:spacing w:before="280" w:after="290" w:line="376" w:lineRule="auto"/>
      <w:outlineLvl w:val="3"/>
    </w:pPr>
    <w:rPr>
      <w:rFonts w:ascii="Cambria" w:hAnsi="Cambria" w:cs="Cambria"/>
      <w:b/>
      <w:bCs/>
      <w:sz w:val="28"/>
      <w:szCs w:val="28"/>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8">
    <w:name w:val="List Paragraph"/>
    <w:basedOn w:val="1"/>
    <w:qFormat/>
    <w:uiPriority w:val="34"/>
    <w:pPr>
      <w:widowControl/>
      <w:spacing w:before="200" w:after="200" w:line="276" w:lineRule="auto"/>
      <w:ind w:left="720"/>
      <w:contextualSpacing/>
      <w:jc w:val="left"/>
    </w:pPr>
    <w:rPr>
      <w:rFonts w:cs="Times New Roman"/>
      <w:kern w:val="0"/>
      <w:sz w:val="20"/>
      <w:szCs w:val="20"/>
    </w:rPr>
  </w:style>
  <w:style w:type="paragraph" w:customStyle="1" w:styleId="9">
    <w:name w:val="列出段落1"/>
    <w:basedOn w:val="1"/>
    <w:qFormat/>
    <w:uiPriority w:val="0"/>
    <w:pPr>
      <w:ind w:firstLine="420" w:firstLineChars="200"/>
    </w:pPr>
  </w:style>
  <w:style w:type="paragraph" w:customStyle="1" w:styleId="10">
    <w:name w:val="_标题4"/>
    <w:basedOn w:val="5"/>
    <w:next w:val="1"/>
    <w:qFormat/>
    <w:uiPriority w:val="99"/>
    <w:pPr>
      <w:numPr>
        <w:ilvl w:val="0"/>
        <w:numId w:val="0"/>
      </w:numPr>
      <w:spacing w:line="374" w:lineRule="auto"/>
      <w:ind w:left="567" w:hanging="567"/>
    </w:pPr>
    <w:rPr>
      <w:rFonts w:ascii="Tahoma" w:hAnsi="Tahoma" w:eastAsia="黑体" w:cs="Times New Roman"/>
      <w:b w:val="0"/>
    </w:rPr>
  </w:style>
  <w:style w:type="paragraph" w:customStyle="1" w:styleId="11">
    <w:name w:val="B正文"/>
    <w:basedOn w:val="1"/>
    <w:qFormat/>
    <w:uiPriority w:val="0"/>
    <w:pPr>
      <w:spacing w:line="360" w:lineRule="auto"/>
      <w:ind w:firstLine="480" w:firstLineChars="200"/>
    </w:pPr>
    <w:rPr>
      <w:rFonts w:ascii="宋体" w:hAnsi="宋体" w:cs="Times New Roman"/>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9</TotalTime>
  <ScaleCrop>false</ScaleCrop>
  <LinksUpToDate>false</LinksUpToDate>
  <CharactersWithSpaces>0</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2018-12-04T07:09:00Z</dcterms:created>
  <dc:creator>王霖</dc:creator>
  <cp:lastModifiedBy>Administrator</cp:lastModifiedBy>
  <dcterms:modified xsi:type="dcterms:W3CDTF">2018-12-05T01:42:49Z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y fmtid="{D5CDD505-2E9C-101B-9397-08002B2CF9AE}" pid="3" name="KSORubyTemplateID" linkTarget="0">
    <vt:lpwstr>6</vt:lpwstr>
  </property>
</Properties>
</file>