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700"/>
        <w:jc w:val="both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十二</w:t>
      </w:r>
      <w:r>
        <w:rPr>
          <w:rFonts w:hint="eastAsia"/>
          <w:sz w:val="36"/>
          <w:szCs w:val="36"/>
        </w:rPr>
        <w:t>道心电图机参数</w:t>
      </w:r>
    </w:p>
    <w:p>
      <w:pPr>
        <w:ind w:firstLine="1540" w:firstLineChars="550"/>
        <w:rPr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可以USB线连接外置打印机，将报告打印于A4纸；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12导心电波形能能打印于A4和US letter大小的热敏纸；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★起搏器采样率不低于16,000Hz；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无需选择灵敏度，自动检测起搏器工作状态；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★电压分辨率不低于1uV；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模数转换不低于24位；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★Glasgow大学静息心电算法，适用于所有年龄段的人群；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开机出波形时间不超过7秒；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内置存储容量不低于800份；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电池单次充电至少可供打印400份报告；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屏幕可预览完整的心电图报告；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★更改患者信息后，可自动再分析心电波形，并作出新的诊断；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输入患者信息时，屏幕下方可显示一道ECG实时波形作监护；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可支持条形码扫描枪接收患者；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U盘可存储并转移PDF或XML格式的报告；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支持无线或有线方式传输PDF或XML格式的报告；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波形增益：2.5, 5, 10, 20, L=10 C=5, L=20 C=10 mm/mV, 自动；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记录仪分辨率：水平40 dots/mm @ 25 mm/s, 垂直8 dots/mm；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心电放大器：直流耦合；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走纸速度：5, 12.5, 25 &amp; 50 mm/s；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eastAsia="zh-CN"/>
        </w:rPr>
        <w:t>支持电脑编辑、传输病历，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12导导联同步心电图；</w:t>
      </w:r>
    </w:p>
    <w:p>
      <w:pPr>
        <w:pStyle w:val="9"/>
        <w:numPr>
          <w:ilvl w:val="0"/>
          <w:numId w:val="1"/>
        </w:numPr>
        <w:ind w:left="420" w:leftChars="0" w:hanging="420"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心电工作站软件主要为用户提供心电图采集、心电数据导入、心电图显示、心电图测量、心电图诊断、心电图打印、检查查询和用户管理等功能，软件数据可在各个模块之间的进行传递。软件主要功能有:信号采集:使用标准的12导联接上电脑USB接口，心电图的原始信号为动态的电压变化，将其转化为数字信号，软件从USB缓冲区里读取一系列字节流以后，得到导联的采样数据。软件将心电图数字化，并将其保存在数据库，当需要时可随时访问查看 。</w:t>
      </w:r>
    </w:p>
    <w:p>
      <w:pPr>
        <w:pStyle w:val="9"/>
        <w:ind w:firstLine="0" w:firstLineChars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LTH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4BB"/>
    <w:multiLevelType w:val="multilevel"/>
    <w:tmpl w:val="08BF34BB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A"/>
    <w:rsid w:val="00071B55"/>
    <w:rsid w:val="001E4A4A"/>
    <w:rsid w:val="002065E3"/>
    <w:rsid w:val="0021041D"/>
    <w:rsid w:val="002B333B"/>
    <w:rsid w:val="0031614E"/>
    <w:rsid w:val="003271D4"/>
    <w:rsid w:val="003B308D"/>
    <w:rsid w:val="00413C2E"/>
    <w:rsid w:val="0044463C"/>
    <w:rsid w:val="00565E62"/>
    <w:rsid w:val="005D1CD1"/>
    <w:rsid w:val="0060588C"/>
    <w:rsid w:val="0066213A"/>
    <w:rsid w:val="006A3CCF"/>
    <w:rsid w:val="006D70F6"/>
    <w:rsid w:val="007436A9"/>
    <w:rsid w:val="00763F04"/>
    <w:rsid w:val="007A165B"/>
    <w:rsid w:val="007B2114"/>
    <w:rsid w:val="007D07A5"/>
    <w:rsid w:val="0083700A"/>
    <w:rsid w:val="00906382"/>
    <w:rsid w:val="00B8368D"/>
    <w:rsid w:val="00C046B9"/>
    <w:rsid w:val="00C623AF"/>
    <w:rsid w:val="00E96FD9"/>
    <w:rsid w:val="00EB011D"/>
    <w:rsid w:val="00F733B3"/>
    <w:rsid w:val="00FD5224"/>
    <w:rsid w:val="00FE33CA"/>
    <w:rsid w:val="0F8747D7"/>
    <w:rsid w:val="12461925"/>
    <w:rsid w:val="26966D4E"/>
    <w:rsid w:val="753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styleId="10">
    <w:name w:val="Placeholder Text"/>
    <w:basedOn w:val="6"/>
    <w:semiHidden/>
    <w:qFormat/>
    <w:uiPriority w:val="99"/>
    <w:rPr>
      <w:rFonts w:cs="Times New Roman"/>
      <w:color w:val="808080"/>
    </w:rPr>
  </w:style>
  <w:style w:type="character" w:customStyle="1" w:styleId="11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mindray</Company>
  <Pages>1</Pages>
  <Words>77</Words>
  <Characters>440</Characters>
  <Lines>3</Lines>
  <Paragraphs>1</Paragraphs>
  <TotalTime>19</TotalTime>
  <ScaleCrop>false</ScaleCrop>
  <LinksUpToDate>false</LinksUpToDate>
  <CharactersWithSpaces>516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2013-12-25T02:36:00Z</dcterms:created>
  <dc:creator>50218154</dc:creator>
  <cp:lastModifiedBy>王霖</cp:lastModifiedBy>
  <dcterms:modified xsi:type="dcterms:W3CDTF">2019-04-12T07:09:39Z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