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2" w:firstLineChars="20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全自动五分类血液细胞分析仪参数</w:t>
      </w:r>
    </w:p>
    <w:p>
      <w:pPr>
        <w:spacing w:line="360" w:lineRule="auto"/>
        <w:rPr>
          <w:sz w:val="24"/>
        </w:rPr>
      </w:pP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sz w:val="24"/>
        </w:rPr>
        <w:t>检测原理：</w:t>
      </w:r>
      <w:r>
        <w:rPr>
          <w:color w:val="000000"/>
          <w:sz w:val="24"/>
        </w:rPr>
        <w:t>采用激光散射法对白细胞进行准确的五分类检测，</w:t>
      </w:r>
      <w:r>
        <w:rPr>
          <w:sz w:val="24"/>
        </w:rPr>
        <w:t>采用免疫比浊法进行C-反应蛋白（CRP）测定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color w:val="000000"/>
          <w:sz w:val="24"/>
        </w:rPr>
      </w:pPr>
      <w:r>
        <w:rPr>
          <w:sz w:val="24"/>
        </w:rPr>
        <w:t>分类通道：具有独立的嗜碱性粒细胞通道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sz w:val="24"/>
        </w:rPr>
        <w:t>检测参数：≥2</w:t>
      </w:r>
      <w:r>
        <w:rPr>
          <w:rFonts w:hint="eastAsia"/>
          <w:sz w:val="24"/>
        </w:rPr>
        <w:t>4</w:t>
      </w:r>
      <w:r>
        <w:rPr>
          <w:sz w:val="24"/>
        </w:rPr>
        <w:t>项可报告参数（不含散点图和直方图）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研究参数：≥6项，</w:t>
      </w:r>
      <w:r>
        <w:rPr>
          <w:sz w:val="24"/>
        </w:rPr>
        <w:t>具有异常淋巴细胞</w:t>
      </w:r>
      <w:r>
        <w:rPr>
          <w:rFonts w:hint="eastAsia"/>
          <w:sz w:val="24"/>
        </w:rPr>
        <w:t>、有核红细胞和原始细胞</w:t>
      </w:r>
      <w:r>
        <w:rPr>
          <w:sz w:val="24"/>
        </w:rPr>
        <w:t>报警信息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sz w:val="24"/>
        </w:rPr>
        <w:t>进样方式：全自动进样，封闭进样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sz w:val="24"/>
        </w:rPr>
        <w:t>检测模式：具有独立CRP、五分类+CRP等3种以上全血检测模式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sz w:val="24"/>
        </w:rPr>
        <w:t>样本添加：可随时添加样本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sz w:val="24"/>
        </w:rPr>
        <w:t>进样器容量：≥40个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sz w:val="24"/>
        </w:rPr>
        <w:t>进样模式：具有独立的静脉全血、末梢全血、预稀释血检测模式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sz w:val="24"/>
        </w:rPr>
        <w:t>样本用量：五分类+CRP模式≤40μl，CRP模式≤20μl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sz w:val="24"/>
        </w:rPr>
        <w:t>检测速度：五分类+CRP模式≥</w:t>
      </w:r>
      <w:r>
        <w:rPr>
          <w:rFonts w:hint="eastAsia"/>
          <w:sz w:val="24"/>
        </w:rPr>
        <w:t>50</w:t>
      </w:r>
      <w:r>
        <w:rPr>
          <w:sz w:val="24"/>
        </w:rPr>
        <w:t>个样本/小时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hint="eastAsia"/>
          <w:sz w:val="24"/>
        </w:rPr>
      </w:pPr>
      <w:r>
        <w:rPr>
          <w:sz w:val="24"/>
        </w:rPr>
        <w:t>预稀释模式：自动定量打出稀释液，具备五分类+CRP功能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检测CRP时考虑到红细胞、白细胞、血小板等细胞体积对CRP结果的影响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sz w:val="24"/>
        </w:rPr>
        <w:t>WBC线性范围：0~400×10</w:t>
      </w:r>
      <w:r>
        <w:rPr>
          <w:sz w:val="24"/>
          <w:vertAlign w:val="superscript"/>
        </w:rPr>
        <w:t>9</w:t>
      </w:r>
      <w:r>
        <w:rPr>
          <w:sz w:val="24"/>
        </w:rPr>
        <w:t>/L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sz w:val="24"/>
        </w:rPr>
        <w:t>CRP线性范围：0.3~300mg/L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sz w:val="24"/>
        </w:rPr>
        <w:t>CRP携带污染：≤1.0%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sz w:val="24"/>
        </w:rPr>
        <w:t>操作系统：全中文操作分析报告软件</w:t>
      </w:r>
      <w:bookmarkStart w:id="0" w:name="_GoBack"/>
      <w:bookmarkEnd w:id="0"/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sz w:val="24"/>
        </w:rPr>
        <w:t>排堵方式：正反冲洗，高压灼烧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sz w:val="24"/>
        </w:rPr>
        <w:t>具有原厂配套的试剂、校准品、质控品，并提供校准品溯源性文件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sz w:val="24"/>
        </w:rPr>
        <w:t>工作</w:t>
      </w:r>
      <w:r>
        <w:rPr>
          <w:sz w:val="24"/>
          <w:u w:val="single" w:color="FFFFFF"/>
        </w:rPr>
        <w:t>电压: (100V-240V～)允差±10%</w:t>
      </w:r>
    </w:p>
    <w:p>
      <w:pPr>
        <w:numPr>
          <w:ilvl w:val="0"/>
          <w:numId w:val="1"/>
        </w:numPr>
        <w:ind w:left="420" w:leftChars="0" w:hanging="420" w:firstLineChars="0"/>
      </w:pPr>
      <w:r>
        <w:rPr>
          <w:rFonts w:hint="eastAsia"/>
        </w:rPr>
        <w:t>维修服务：贵州省有经工商注册的厂家维修服务机构，厂家专职工程师超过10名并提供联系方式</w:t>
      </w:r>
    </w:p>
    <w:p>
      <w:pPr>
        <w:numPr>
          <w:ilvl w:val="0"/>
          <w:numId w:val="1"/>
        </w:numPr>
        <w:ind w:left="420" w:leftChars="0" w:hanging="420" w:firstLineChars="0"/>
      </w:pPr>
      <w:r>
        <w:rPr>
          <w:rFonts w:hint="eastAsia"/>
        </w:rPr>
        <w:t>同系列五分类血球仪在贵州区装机</w:t>
      </w:r>
      <w:r>
        <w:t>≥</w:t>
      </w:r>
      <w:r>
        <w:rPr>
          <w:rFonts w:hint="eastAsia"/>
        </w:rPr>
        <w:t>30台，并提供用户名单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E05BC"/>
    <w:multiLevelType w:val="multilevel"/>
    <w:tmpl w:val="518E05B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3E87"/>
    <w:rsid w:val="00067B4A"/>
    <w:rsid w:val="000A0896"/>
    <w:rsid w:val="000B6456"/>
    <w:rsid w:val="000E5640"/>
    <w:rsid w:val="00150F54"/>
    <w:rsid w:val="001A6B90"/>
    <w:rsid w:val="001B04CD"/>
    <w:rsid w:val="001F5483"/>
    <w:rsid w:val="00204C7B"/>
    <w:rsid w:val="00222453"/>
    <w:rsid w:val="002248E2"/>
    <w:rsid w:val="00274853"/>
    <w:rsid w:val="0031095F"/>
    <w:rsid w:val="00316EB3"/>
    <w:rsid w:val="00364084"/>
    <w:rsid w:val="00403912"/>
    <w:rsid w:val="00404BF0"/>
    <w:rsid w:val="00420493"/>
    <w:rsid w:val="00441126"/>
    <w:rsid w:val="004513CF"/>
    <w:rsid w:val="005616EB"/>
    <w:rsid w:val="00594AD4"/>
    <w:rsid w:val="005E0D0B"/>
    <w:rsid w:val="005F264A"/>
    <w:rsid w:val="00602C19"/>
    <w:rsid w:val="006346BF"/>
    <w:rsid w:val="00686203"/>
    <w:rsid w:val="006942DE"/>
    <w:rsid w:val="00712F17"/>
    <w:rsid w:val="007D3B0F"/>
    <w:rsid w:val="007D6E4C"/>
    <w:rsid w:val="00810150"/>
    <w:rsid w:val="00814036"/>
    <w:rsid w:val="00853802"/>
    <w:rsid w:val="009031A1"/>
    <w:rsid w:val="00954AB4"/>
    <w:rsid w:val="009D15E3"/>
    <w:rsid w:val="00AF7B50"/>
    <w:rsid w:val="00BA709D"/>
    <w:rsid w:val="00C6330E"/>
    <w:rsid w:val="00CB66A5"/>
    <w:rsid w:val="00CF63EE"/>
    <w:rsid w:val="00D06E77"/>
    <w:rsid w:val="00D326D7"/>
    <w:rsid w:val="00DB5CA6"/>
    <w:rsid w:val="00DF3E87"/>
    <w:rsid w:val="00E41D09"/>
    <w:rsid w:val="00E42DB0"/>
    <w:rsid w:val="00E6407F"/>
    <w:rsid w:val="00E815EF"/>
    <w:rsid w:val="00F547AB"/>
    <w:rsid w:val="00FA20E2"/>
    <w:rsid w:val="00FA4986"/>
    <w:rsid w:val="00FB0309"/>
    <w:rsid w:val="18105A94"/>
    <w:rsid w:val="5395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text91"/>
    <w:qFormat/>
    <w:uiPriority w:val="0"/>
    <w:rPr>
      <w:sz w:val="18"/>
      <w:szCs w:val="18"/>
      <w:u w:val="none"/>
    </w:r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500</Characters>
  <Lines>4</Lines>
  <Paragraphs>1</Paragraphs>
  <TotalTime>20</TotalTime>
  <ScaleCrop>false</ScaleCrop>
  <LinksUpToDate>false</LinksUpToDate>
  <CharactersWithSpaces>586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2014-05-19T07:26:00Z</dcterms:created>
  <dc:creator>Administrator</dc:creator>
  <cp:lastModifiedBy>王庆喜</cp:lastModifiedBy>
  <cp:lastPrinted>2019-09-12T01:12:26Z</cp:lastPrinted>
  <dcterms:modified xsi:type="dcterms:W3CDTF">2019-09-12T01:12:29Z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