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bCs/>
          <w:sz w:val="32"/>
          <w:szCs w:val="32"/>
        </w:rPr>
      </w:pPr>
      <w:bookmarkStart w:id="0" w:name="_Toc5511"/>
      <w:bookmarkStart w:id="1" w:name="_Toc7011"/>
      <w:bookmarkStart w:id="2" w:name="_Toc12419"/>
      <w:bookmarkStart w:id="3" w:name="_Toc23195"/>
      <w:bookmarkStart w:id="4" w:name="_Toc353887091"/>
      <w:bookmarkStart w:id="5" w:name="_Toc30501"/>
      <w:bookmarkStart w:id="6" w:name="_Toc23505"/>
      <w:bookmarkStart w:id="7" w:name="_Toc14735"/>
      <w:bookmarkStart w:id="8" w:name="_Toc12967"/>
      <w:bookmarkStart w:id="9" w:name="_Toc389681296"/>
      <w:bookmarkStart w:id="10" w:name="_Toc21893"/>
      <w:bookmarkStart w:id="11" w:name="_Toc353887107"/>
      <w:bookmarkStart w:id="12" w:name="_Toc25325"/>
      <w:bookmarkStart w:id="13" w:name="_Toc15687"/>
      <w:bookmarkStart w:id="14" w:name="_Toc3217"/>
      <w:bookmarkStart w:id="15" w:name="_Toc15848"/>
      <w:bookmarkStart w:id="16" w:name="_Toc19569"/>
      <w:bookmarkStart w:id="17" w:name="_Toc402"/>
      <w:bookmarkStart w:id="18" w:name="_Toc10197"/>
      <w:bookmarkStart w:id="19" w:name="_Toc23378"/>
      <w:bookmarkStart w:id="20" w:name="_Toc32160"/>
      <w:bookmarkStart w:id="21" w:name="_Toc27596"/>
      <w:bookmarkStart w:id="22" w:name="_Toc31148"/>
      <w:bookmarkStart w:id="23" w:name="_Toc3874"/>
      <w:bookmarkStart w:id="24" w:name="_Toc20289"/>
      <w:bookmarkStart w:id="25" w:name="_Toc21630"/>
      <w:bookmarkStart w:id="26" w:name="_Toc15728"/>
      <w:bookmarkStart w:id="27" w:name="_Toc7456"/>
      <w:bookmarkStart w:id="28" w:name="_Toc12283"/>
      <w:bookmarkStart w:id="29" w:name="_Toc22188"/>
      <w:bookmarkStart w:id="30" w:name="_Toc5085"/>
      <w:bookmarkStart w:id="31" w:name="_Toc22194"/>
      <w:bookmarkStart w:id="32" w:name="_Toc353887093"/>
      <w:bookmarkStart w:id="33" w:name="_Toc231636335"/>
      <w:bookmarkStart w:id="34" w:name="_Toc12739"/>
      <w:bookmarkStart w:id="35" w:name="_Toc27049"/>
      <w:bookmarkStart w:id="36" w:name="_Toc460"/>
      <w:bookmarkStart w:id="37" w:name="_Toc322030091"/>
      <w:bookmarkStart w:id="38" w:name="_Toc24787"/>
      <w:bookmarkStart w:id="39" w:name="_Toc17992"/>
      <w:bookmarkStart w:id="40" w:name="_Toc455"/>
      <w:r>
        <w:rPr>
          <w:rFonts w:hint="eastAsia" w:ascii="仿宋" w:hAnsi="仿宋" w:eastAsia="仿宋" w:cs="仿宋"/>
          <w:b/>
          <w:bCs/>
          <w:sz w:val="32"/>
          <w:szCs w:val="32"/>
        </w:rPr>
        <w:t>心电信息管理系统技术参数</w:t>
      </w:r>
    </w:p>
    <w:p>
      <w:pPr>
        <w:jc w:val="center"/>
        <w:rPr>
          <w:rFonts w:hint="eastAsia" w:ascii="仿宋" w:hAnsi="仿宋" w:eastAsia="仿宋" w:cs="仿宋"/>
          <w:b/>
          <w:bCs/>
          <w:sz w:val="32"/>
          <w:szCs w:val="32"/>
          <w:lang w:val="en-US" w:eastAsia="zh-CN"/>
        </w:rPr>
      </w:pPr>
    </w:p>
    <w:p>
      <w:pPr>
        <w:spacing w:line="240" w:lineRule="atLeast"/>
        <w:rPr>
          <w:rFonts w:ascii="宋体" w:cs="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心电信息管理系统服务器软件</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心电网络数据库管理与心电图心电存储管理服务，支持SQLserver、Oracle等大型数据库，有安全、可靠的数据存储、备份方案，有近线、离线数据调阅方案，实现数据的网络存储及应急状态的数据本地存储。具有开放性，支持异种数据库的访问，包括实现对文件数据和桌面数据库的访问、实现对大型异种数据库</w:t>
      </w:r>
      <w:bookmarkStart w:id="41" w:name="_GoBack"/>
      <w:bookmarkEnd w:id="41"/>
      <w:r>
        <w:rPr>
          <w:rFonts w:hint="eastAsia" w:ascii="宋体" w:hAnsi="宋体" w:cs="宋体"/>
          <w:color w:val="000000" w:themeColor="text1"/>
          <w14:textFill>
            <w14:solidFill>
              <w14:schemeClr w14:val="tx1"/>
            </w14:solidFill>
          </w14:textFill>
        </w:rPr>
        <w:t>的访问、实现和高级语言互连的能力等，具有支持并行操作所需的技术，包括多服务器协同技术、事务处理的完整性控制技术；</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软件系统架构基于SOA三层架构体系技术，支持B/S和C/S两种架构设计。系统的数据传输全面支持国际医疗影像协会的DICOM3.0标准。以XML格式为架构心电电生理报告及HL7标准的集成标准。为保证系统集成的规范与稳定，要求企业具有中国电子信息行业联合会颁发的信息系统集成与服务资质证书。</w:t>
      </w:r>
    </w:p>
    <w:p>
      <w:pPr>
        <w:spacing w:line="240" w:lineRule="atLeast"/>
        <w:outlineLvl w:val="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2、心电图图文报告临床科室WEB浏览软件</w:t>
      </w:r>
    </w:p>
    <w:p>
      <w:pPr>
        <w:numPr>
          <w:ilvl w:val="0"/>
          <w:numId w:val="2"/>
        </w:numPr>
        <w:spacing w:line="360" w:lineRule="auto"/>
        <w:rPr>
          <w:rFonts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▲提供临床WEB发布管理系统软件功能：医生可通过WEB浏览器浏览、查询管理心电图图文报告与原始波形数据，要求提供临床WEB发布管理系统计算机软件著作权登记证书；</w:t>
      </w:r>
    </w:p>
    <w:p>
      <w:pPr>
        <w:numPr>
          <w:ilvl w:val="0"/>
          <w:numId w:val="2"/>
        </w:num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提供用户登录功能，为不同用户分配不同的查看权限；</w:t>
      </w:r>
    </w:p>
    <w:p>
      <w:pPr>
        <w:numPr>
          <w:ilvl w:val="0"/>
          <w:numId w:val="2"/>
        </w:numPr>
        <w:spacing w:line="360" w:lineRule="auto"/>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提供心电图处理测量功能，波形显示、幅值调整、单页多页显示、新旧病历对比、分析功能、心拍自动分析、心拍特征点自动识别、心拍特征点手动微调、走纸速度调整、波形放大等功能；</w:t>
      </w:r>
    </w:p>
    <w:p>
      <w:pPr>
        <w:numPr>
          <w:ilvl w:val="0"/>
          <w:numId w:val="2"/>
        </w:numPr>
        <w:spacing w:line="360" w:lineRule="auto"/>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WEB浏览支持同一病人不同检查时间心电图波形对比功能，浏览时可进行报告，支持报告助手点选输入；支持波形放大叠加分析、波形打印。</w:t>
      </w:r>
    </w:p>
    <w:p>
      <w:pPr>
        <w:spacing w:line="240" w:lineRule="atLeast"/>
        <w:outlineLvl w:val="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、与HIS、PACS、电子病历、体检系统集成</w:t>
      </w:r>
    </w:p>
    <w:p>
      <w:pPr>
        <w:pStyle w:val="30"/>
        <w:numPr>
          <w:ilvl w:val="0"/>
          <w:numId w:val="3"/>
        </w:numPr>
        <w:spacing w:before="31" w:beforeLines="10" w:line="360" w:lineRule="auto"/>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提供全面、可靠的DICOM标准支持，包括DICOM Storage、DICOM Modality Worklist等SOP Classes。确保与医院现有或将来购买的各类设备和系统之间的有效DICOM连接。</w:t>
      </w:r>
    </w:p>
    <w:p>
      <w:pPr>
        <w:numPr>
          <w:ilvl w:val="0"/>
          <w:numId w:val="3"/>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支持IHE框架内的各种协议与接口，提供了对所需IHE Profiles的良好支持，如SWF、PIR、PDI、XDS等。</w:t>
      </w:r>
    </w:p>
    <w:p>
      <w:pPr>
        <w:numPr>
          <w:ilvl w:val="0"/>
          <w:numId w:val="3"/>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支持HL7 Broker模块，提供了对多种HL7 消息集的支持，例如通过ADT（Admit, Discharge and Transfer）消息更新患者 索引信息、合并病人或检查检查等，通过ORU（Observation Result/Unsolicited）消息接收和保存诊断报告，以及ORM等其它HL7消息集。</w:t>
      </w:r>
    </w:p>
    <w:p>
      <w:pPr>
        <w:spacing w:line="240" w:lineRule="atLeast"/>
        <w:outlineLvl w:val="0"/>
        <w:rPr>
          <w:rFonts w:ascii="宋体" w:hAnsi="宋体"/>
          <w:b/>
          <w:bCs/>
          <w:szCs w:val="21"/>
        </w:rPr>
      </w:pPr>
      <w:r>
        <w:rPr>
          <w:rFonts w:hint="eastAsia" w:ascii="宋体" w:hAnsi="宋体"/>
          <w:b/>
          <w:bCs/>
          <w:color w:val="000000" w:themeColor="text1"/>
          <w:szCs w:val="21"/>
          <w14:textFill>
            <w14:solidFill>
              <w14:schemeClr w14:val="tx1"/>
            </w14:solidFill>
          </w14:textFill>
        </w:rPr>
        <w:t>5、</w:t>
      </w:r>
      <w:r>
        <w:rPr>
          <w:rFonts w:hint="eastAsia" w:ascii="宋体" w:hAnsi="宋体"/>
          <w:b/>
          <w:bCs/>
          <w:szCs w:val="21"/>
        </w:rPr>
        <w:t>心电数据异常值自动提醒与危急值管理模块</w:t>
      </w:r>
    </w:p>
    <w:p>
      <w:pPr>
        <w:numPr>
          <w:ilvl w:val="0"/>
          <w:numId w:val="4"/>
        </w:numPr>
        <w:spacing w:line="360" w:lineRule="auto"/>
        <w:rPr>
          <w:rFonts w:ascii="宋体" w:hAnsi="宋体"/>
          <w:szCs w:val="21"/>
        </w:rPr>
      </w:pPr>
      <w:r>
        <w:rPr>
          <w:rFonts w:hint="eastAsia" w:ascii="宋体" w:hAnsi="宋体"/>
          <w:szCs w:val="21"/>
        </w:rPr>
        <w:t>所有心电检查数据传输至网络之后，诊断医生工作站以弹窗、声音提示医生新病例到达。</w:t>
      </w:r>
    </w:p>
    <w:p>
      <w:pPr>
        <w:numPr>
          <w:ilvl w:val="0"/>
          <w:numId w:val="4"/>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后台预分析，对于系统已经判断出存在危险情况的病人标明危机，即时在工作站发出提醒，同时在心电诊断工作站中，把存在危险情况的数据在当前待分析的数据中自动排序在上方，并以特殊颜色给出提醒。（要求提供实际软件界面截图）</w:t>
      </w:r>
    </w:p>
    <w:p>
      <w:pPr>
        <w:numPr>
          <w:ilvl w:val="0"/>
          <w:numId w:val="4"/>
        </w:numPr>
        <w:spacing w:line="360" w:lineRule="auto"/>
      </w:pPr>
      <w:r>
        <w:rPr>
          <w:rFonts w:hint="eastAsia" w:ascii="宋体" w:hAnsi="宋体"/>
          <w:szCs w:val="21"/>
        </w:rPr>
        <w:t>对于已确诊危急病人，通过系统配置，将相应病人检查信息、检查结论自动发送至病房医生工作站或护士工作站，有相应弹窗、声音提示，从而提醒医护人员进行相关危急处理。</w:t>
      </w:r>
    </w:p>
    <w:p>
      <w:pPr>
        <w:numPr>
          <w:ilvl w:val="0"/>
          <w:numId w:val="4"/>
        </w:numPr>
        <w:spacing w:line="360" w:lineRule="auto"/>
      </w:pPr>
      <w:r>
        <w:rPr>
          <w:rFonts w:hint="eastAsia" w:ascii="宋体" w:hAnsi="宋体"/>
          <w:szCs w:val="21"/>
        </w:rPr>
        <w:t>系统可与短信平台对接，直接将危急信息发送至主治医生或给科室主任发送短信，短信中可以包括该检查的波形及自动诊断的结论</w:t>
      </w:r>
    </w:p>
    <w:p>
      <w:pPr>
        <w:spacing w:line="240" w:lineRule="atLeast"/>
        <w:outlineLvl w:val="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、预约登记系统软件</w:t>
      </w:r>
    </w:p>
    <w:p>
      <w:pPr>
        <w:spacing w:line="460" w:lineRule="exact"/>
        <w:ind w:firstLine="48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检查科室获取医生的电子检查申请单用于检查预约心电图、动态心电的待检查患者，并实现分诊。完成患者信息的录入工作。该模块通过</w:t>
      </w:r>
      <w:r>
        <w:rPr>
          <w:rFonts w:ascii="宋体" w:hAnsi="宋体" w:cs="宋体"/>
          <w:color w:val="000000" w:themeColor="text1"/>
          <w:szCs w:val="21"/>
          <w14:textFill>
            <w14:solidFill>
              <w14:schemeClr w14:val="tx1"/>
            </w14:solidFill>
          </w14:textFill>
        </w:rPr>
        <w:t>HIS</w:t>
      </w:r>
      <w:r>
        <w:rPr>
          <w:rFonts w:hint="eastAsia" w:ascii="宋体" w:hAnsi="宋体" w:cs="宋体"/>
          <w:color w:val="000000" w:themeColor="text1"/>
          <w:szCs w:val="21"/>
          <w14:textFill>
            <w14:solidFill>
              <w14:schemeClr w14:val="tx1"/>
            </w14:solidFill>
          </w14:textFill>
        </w:rPr>
        <w:t>接口与</w:t>
      </w:r>
      <w:r>
        <w:rPr>
          <w:rFonts w:ascii="宋体" w:hAnsi="宋体" w:cs="宋体"/>
          <w:color w:val="000000" w:themeColor="text1"/>
          <w:szCs w:val="21"/>
          <w14:textFill>
            <w14:solidFill>
              <w14:schemeClr w14:val="tx1"/>
            </w14:solidFill>
          </w14:textFill>
        </w:rPr>
        <w:t>HIS</w:t>
      </w:r>
      <w:r>
        <w:rPr>
          <w:rFonts w:hint="eastAsia" w:ascii="宋体" w:hAnsi="宋体" w:cs="宋体"/>
          <w:color w:val="000000" w:themeColor="text1"/>
          <w:szCs w:val="21"/>
          <w14:textFill>
            <w14:solidFill>
              <w14:schemeClr w14:val="tx1"/>
            </w14:solidFill>
          </w14:textFill>
        </w:rPr>
        <w:t>系统通讯，直接获取待检查患者信息。登记的患者信息可直接发送到连接心电图机电脑上。预约登记支持条形码打印。</w:t>
      </w:r>
    </w:p>
    <w:p>
      <w:pPr>
        <w:spacing w:line="240" w:lineRule="atLeast"/>
        <w:outlineLvl w:val="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7</w:t>
      </w:r>
      <w:r>
        <w:rPr>
          <w:rFonts w:hint="eastAsia" w:ascii="宋体" w:hAnsi="宋体"/>
          <w:b/>
          <w:bCs/>
          <w:color w:val="000000" w:themeColor="text1"/>
          <w:szCs w:val="21"/>
          <w14:textFill>
            <w14:solidFill>
              <w14:schemeClr w14:val="tx1"/>
            </w14:solidFill>
          </w14:textFill>
        </w:rPr>
        <w:t>、电子叫号系统软件</w:t>
      </w:r>
    </w:p>
    <w:p>
      <w:pPr>
        <w:spacing w:line="460" w:lineRule="exact"/>
        <w:ind w:firstLine="420"/>
        <w:rPr>
          <w:rFonts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用于门诊心电图室与预约登记工作站联合工作，通过在候诊区安装液晶显示屏与音响，实现自动语音呼叫患者就诊，并在液晶显示屏上显示待检查患者信息，同时可显示其它多媒体信息。护士站可以手工调整队列支持打印扫描条型码，病人卡的识别。提供标准女声语音库。</w:t>
      </w:r>
    </w:p>
    <w:p>
      <w:pPr>
        <w:spacing w:line="240" w:lineRule="atLeast"/>
        <w:outlineLvl w:val="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、心电医生诊断</w:t>
      </w:r>
      <w:r>
        <w:rPr>
          <w:rFonts w:hint="eastAsia" w:ascii="宋体" w:hAnsi="宋体"/>
          <w:b/>
          <w:bCs/>
          <w:color w:val="000000" w:themeColor="text1"/>
          <w:szCs w:val="21"/>
          <w:lang w:eastAsia="zh-CN"/>
          <w14:textFill>
            <w14:solidFill>
              <w14:schemeClr w14:val="tx1"/>
            </w14:solidFill>
          </w14:textFill>
        </w:rPr>
        <w:t>报告</w:t>
      </w:r>
      <w:r>
        <w:rPr>
          <w:rFonts w:hint="eastAsia" w:ascii="宋体" w:hAnsi="宋体"/>
          <w:b/>
          <w:bCs/>
          <w:color w:val="000000" w:themeColor="text1"/>
          <w:szCs w:val="21"/>
          <w14:textFill>
            <w14:solidFill>
              <w14:schemeClr w14:val="tx1"/>
            </w14:solidFill>
          </w14:textFill>
        </w:rPr>
        <w:t>工作站</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电医生诊断工作站不仅可以集中在心电图中心处理也可在医院任何一个客户端接收临床传输来的心电病历进行专业的心电图诊断、处理分析功能。心电图诊断报告系统要有权限管理，不同使用医生权利不同，支持多级审核。</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病历到达即时提醒功能。当临床采集的病历发送过来时，心电医生工作站自动弹出提示窗口并发出声音，提示医生有新病到达，提供统一病人多次检查的同步比较，支持某病例与典型专家库病例的同步比较，支持比较的显示格式有12导联同屏，3导联同屏，指定导联同屏同步比较等形式。</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多种显示方式导联同屏，指定导联同屏同步比较等形式，支持每组波形中任意波形单击放大对比功能，每个单击放大QRS波群测量参数不少于20种，并且支持12导波形叠加对比，符合波叠加对比。</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在对比过程中支持所对比的波形打印，电压5\10\20调节，走纸速度调节，标尺测量。支持多组RR间期测量，心律失常的RR间期测量毫秒显示，支持复合波和单一波形分析。</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提供心电图分析测量功能，多种波形显示方式、波形放大等功能。</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支持导联纠错功能：在肢体导联接反或胸导联接错的情况下，可以通过软件直接修正，无需重复采集。</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支持平行尺测量功能，对于间期倍数可进行快速测量。</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具有12导心电图叠加分析，复合波功能。</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心电信息网络系统中的医生报告系统具有自动分析，具有自动测量给出诊断提示或结果的功能，异常诊断参数提醒、具有标准的 心电图诊断摸板，以辅助医生快速诊断心电图。</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冠心病定位技术：要求提供软件截图及定位原理文字说明。</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新生儿心电图采集分析功能，系统自动分析的算法具有成人、儿童年龄异化分析、性别差异化分析。</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▲心脏示意图功能：针对每条心电图诊断结论，提供对应病变位置心脏示意图。（要求提供软件截图证明）</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▲提供病例收藏功能：支持个人收藏及公开收藏，要求提供典型库收藏管理系统计算机软件著作权登记证书。</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病例随访功能：为心电图检查完成病人设置随访、预约随访功能，支持随访提醒及随访状态描述。</w:t>
      </w:r>
    </w:p>
    <w:p>
      <w:pPr>
        <w:numPr>
          <w:ilvl w:val="0"/>
          <w:numId w:val="5"/>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可根据医院需求灵活定制检索条件、统计报表，导入导出格式内容等。</w:t>
      </w:r>
    </w:p>
    <w:p>
      <w:pPr>
        <w:spacing w:line="240" w:lineRule="atLeast"/>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9</w:t>
      </w:r>
      <w:r>
        <w:rPr>
          <w:rFonts w:hint="eastAsia" w:ascii="宋体" w:hAnsi="宋体"/>
          <w:b/>
          <w:bCs/>
          <w:color w:val="000000" w:themeColor="text1"/>
          <w:szCs w:val="21"/>
          <w14:textFill>
            <w14:solidFill>
              <w14:schemeClr w14:val="tx1"/>
            </w14:solidFill>
          </w14:textFill>
        </w:rPr>
        <w:t>心电采集诊断工作站</w:t>
      </w:r>
    </w:p>
    <w:p>
      <w:pPr>
        <w:numPr>
          <w:ilvl w:val="0"/>
          <w:numId w:val="6"/>
        </w:numPr>
        <w:spacing w:line="240" w:lineRule="atLeas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具有心电医生诊断工作站所有诊断功能；</w:t>
      </w:r>
    </w:p>
    <w:p>
      <w:pPr>
        <w:pStyle w:val="26"/>
        <w:numPr>
          <w:ilvl w:val="0"/>
          <w:numId w:val="6"/>
        </w:numPr>
        <w:spacing w:line="360" w:lineRule="auto"/>
        <w:ind w:firstLineChars="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Worklist功能：具有worklist功能，可以从HIS直接提取患者信息，无须手动输入，支持条码扫描功能；</w:t>
      </w:r>
    </w:p>
    <w:p>
      <w:pPr>
        <w:pStyle w:val="26"/>
        <w:numPr>
          <w:ilvl w:val="0"/>
          <w:numId w:val="6"/>
        </w:numPr>
        <w:spacing w:line="360" w:lineRule="auto"/>
        <w:ind w:firstLineChars="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ECG(常规心电图)：12导联同步采集存贮；12导联屏幕显示、打印；12导联心电波形；自动测量、分析及数据打印；</w:t>
      </w:r>
    </w:p>
    <w:p>
      <w:pPr>
        <w:pStyle w:val="26"/>
        <w:numPr>
          <w:ilvl w:val="0"/>
          <w:numId w:val="6"/>
        </w:numPr>
        <w:spacing w:line="360" w:lineRule="auto"/>
        <w:ind w:firstLineChars="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支持同步15/18导联心电图加做采集、分析功能；</w:t>
      </w:r>
    </w:p>
    <w:p>
      <w:pPr>
        <w:pStyle w:val="26"/>
        <w:numPr>
          <w:ilvl w:val="0"/>
          <w:numId w:val="6"/>
        </w:numPr>
        <w:spacing w:line="360" w:lineRule="auto"/>
        <w:ind w:firstLineChars="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心电向量图采集：采集并存贮X、Y、Z轴正交心电图及额面、横面、侧面心电向量图，自动分析各向量环的最大向量及心电轴等参数；显示和打印分析结果，含图形及数据；支持VCG（空间向量心电图）功能；支持TVCG（时间心电向量图）功能</w:t>
      </w:r>
      <w:r>
        <w:rPr>
          <w:rFonts w:hint="eastAsia" w:ascii="宋体" w:hAnsi="宋体" w:cs="仿宋"/>
          <w:color w:val="000000" w:themeColor="text1"/>
          <w:szCs w:val="21"/>
          <w14:textFill>
            <w14:solidFill>
              <w14:schemeClr w14:val="tx1"/>
            </w14:solidFill>
          </w14:textFill>
        </w:rPr>
        <w:t>要求</w:t>
      </w:r>
      <w:r>
        <w:rPr>
          <w:rFonts w:ascii="宋体" w:hAnsi="宋体" w:cs="仿宋"/>
          <w:color w:val="000000" w:themeColor="text1"/>
          <w:szCs w:val="21"/>
          <w14:textFill>
            <w14:solidFill>
              <w14:schemeClr w14:val="tx1"/>
            </w14:solidFill>
          </w14:textFill>
        </w:rPr>
        <w:t>医疗器械注册证上明确说明</w:t>
      </w:r>
      <w:r>
        <w:rPr>
          <w:rFonts w:hint="eastAsia" w:ascii="宋体" w:hAnsi="宋体" w:cs="宋体"/>
          <w:color w:val="000000" w:themeColor="text1"/>
          <w:szCs w:val="21"/>
          <w14:textFill>
            <w14:solidFill>
              <w14:schemeClr w14:val="tx1"/>
            </w14:solidFill>
          </w14:textFill>
        </w:rPr>
        <w:t>；</w:t>
      </w:r>
    </w:p>
    <w:p>
      <w:pPr>
        <w:pStyle w:val="26"/>
        <w:numPr>
          <w:ilvl w:val="0"/>
          <w:numId w:val="6"/>
        </w:numPr>
        <w:spacing w:line="360" w:lineRule="auto"/>
        <w:ind w:firstLineChars="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心室晚电位（VLP）：自动测量和分析晚电位波形、计算QRS波参数；心室晚电位时频和频域分析</w:t>
      </w:r>
      <w:r>
        <w:rPr>
          <w:rFonts w:hint="eastAsia" w:ascii="宋体" w:hAnsi="宋体" w:cs="仿宋"/>
          <w:color w:val="000000" w:themeColor="text1"/>
          <w:szCs w:val="21"/>
          <w14:textFill>
            <w14:solidFill>
              <w14:schemeClr w14:val="tx1"/>
            </w14:solidFill>
          </w14:textFill>
        </w:rPr>
        <w:t>要求</w:t>
      </w:r>
      <w:r>
        <w:rPr>
          <w:rFonts w:ascii="宋体" w:hAnsi="宋体" w:cs="仿宋"/>
          <w:color w:val="000000" w:themeColor="text1"/>
          <w:szCs w:val="21"/>
          <w14:textFill>
            <w14:solidFill>
              <w14:schemeClr w14:val="tx1"/>
            </w14:solidFill>
          </w14:textFill>
        </w:rPr>
        <w:t>医疗器械注册证上明确说明</w:t>
      </w:r>
      <w:r>
        <w:rPr>
          <w:rFonts w:hint="eastAsia" w:ascii="宋体" w:hAnsi="宋体" w:cs="宋体"/>
          <w:color w:val="000000" w:themeColor="text1"/>
          <w:szCs w:val="21"/>
          <w14:textFill>
            <w14:solidFill>
              <w14:schemeClr w14:val="tx1"/>
            </w14:solidFill>
          </w14:textFill>
        </w:rPr>
        <w:t>；</w:t>
      </w:r>
    </w:p>
    <w:p>
      <w:pPr>
        <w:pStyle w:val="26"/>
        <w:numPr>
          <w:ilvl w:val="0"/>
          <w:numId w:val="6"/>
        </w:numPr>
        <w:spacing w:line="360" w:lineRule="auto"/>
        <w:ind w:firstLineChars="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支持1</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导心电向量采集</w:t>
      </w:r>
      <w:r>
        <w:rPr>
          <w:rFonts w:hint="eastAsia" w:ascii="宋体" w:hAnsi="宋体" w:cs="仿宋"/>
          <w:color w:val="000000" w:themeColor="text1"/>
          <w:szCs w:val="21"/>
          <w14:textFill>
            <w14:solidFill>
              <w14:schemeClr w14:val="tx1"/>
            </w14:solidFill>
          </w14:textFill>
        </w:rPr>
        <w:t>要求</w:t>
      </w:r>
      <w:r>
        <w:rPr>
          <w:rFonts w:ascii="宋体" w:hAnsi="宋体" w:cs="仿宋"/>
          <w:color w:val="000000" w:themeColor="text1"/>
          <w:szCs w:val="21"/>
          <w14:textFill>
            <w14:solidFill>
              <w14:schemeClr w14:val="tx1"/>
            </w14:solidFill>
          </w14:textFill>
        </w:rPr>
        <w:t>医疗器械注册证上明确说明</w:t>
      </w:r>
      <w:r>
        <w:rPr>
          <w:rFonts w:hint="eastAsia" w:ascii="宋体" w:hAnsi="宋体" w:cs="仿宋"/>
          <w:color w:val="000000" w:themeColor="text1"/>
          <w:szCs w:val="21"/>
          <w14:textFill>
            <w14:solidFill>
              <w14:schemeClr w14:val="tx1"/>
            </w14:solidFill>
          </w14:textFill>
        </w:rPr>
        <w:t>；</w:t>
      </w:r>
    </w:p>
    <w:p>
      <w:pPr>
        <w:spacing w:line="240" w:lineRule="atLeast"/>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10</w:t>
      </w:r>
      <w:r>
        <w:rPr>
          <w:rFonts w:hint="eastAsia" w:ascii="宋体" w:hAnsi="宋体"/>
          <w:b/>
          <w:bCs/>
          <w:color w:val="000000" w:themeColor="text1"/>
          <w:szCs w:val="21"/>
          <w14:textFill>
            <w14:solidFill>
              <w14:schemeClr w14:val="tx1"/>
            </w14:solidFill>
          </w14:textFill>
        </w:rPr>
        <w:t>、主任管理工作站软件</w:t>
      </w:r>
    </w:p>
    <w:p>
      <w:pPr>
        <w:widowControl/>
        <w:numPr>
          <w:ilvl w:val="0"/>
          <w:numId w:val="7"/>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具有心电医生诊断工作站所有诊断功能</w:t>
      </w:r>
    </w:p>
    <w:p>
      <w:pPr>
        <w:widowControl/>
        <w:numPr>
          <w:ilvl w:val="0"/>
          <w:numId w:val="7"/>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据库检索统计功能：可结合患者基本信息，临床诊断，测量值，心电图诊断综合统计检索，查找并显示统计结果，以便开展多种临床研究，还可以对12SL测量矩阵、ECG质量、测量值、检测信息、原始心电测量值、诊断等名目下的多种条件进行组合检索；提供多种病名统计分析（全年发病趋势、性别、年龄统计显示，EXCL表格输出）；</w:t>
      </w:r>
    </w:p>
    <w:p>
      <w:pPr>
        <w:widowControl/>
        <w:numPr>
          <w:ilvl w:val="0"/>
          <w:numId w:val="7"/>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工作量统计、绩效考核、阳性率等的统计，用户可以自定义搜索模式，搜索结果可以输出成报表格式。</w:t>
      </w:r>
    </w:p>
    <w:p>
      <w:pPr>
        <w:widowControl/>
        <w:numPr>
          <w:ilvl w:val="0"/>
          <w:numId w:val="7"/>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用户管理：系统用户的添加、删除、修改等管理信息的设定功能</w:t>
      </w:r>
    </w:p>
    <w:p>
      <w:pPr>
        <w:widowControl/>
        <w:numPr>
          <w:ilvl w:val="0"/>
          <w:numId w:val="7"/>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系统用户分组、来源、专家共享等管理信息的设定功能</w:t>
      </w:r>
    </w:p>
    <w:p>
      <w:pPr>
        <w:widowControl/>
        <w:numPr>
          <w:ilvl w:val="0"/>
          <w:numId w:val="7"/>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权限及职责管理：通过不同级别用户设定，各自的口令修改，包括采集上传的用户、诊断分析的用户、系统管理员、服务工程师，控制系统的使用。通过系统管理员的授权，控制普通用户访问某些功能的权限，根据用户的权限，可以支持禁止普通用户操纵计算机。提供机器安全保护机制。</w:t>
      </w:r>
    </w:p>
    <w:p>
      <w:pPr>
        <w:widowControl/>
        <w:numPr>
          <w:ilvl w:val="0"/>
          <w:numId w:val="7"/>
        </w:numPr>
        <w:spacing w:line="360" w:lineRule="auto"/>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安全性：多级操作权限及密码设置</w:t>
      </w:r>
    </w:p>
    <w:p>
      <w:pPr>
        <w:spacing w:line="240" w:lineRule="atLeas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、移动式12导心电检查仪技术参数：</w:t>
      </w:r>
    </w:p>
    <w:p>
      <w:pPr>
        <w:numPr>
          <w:ilvl w:val="0"/>
          <w:numId w:val="8"/>
        </w:numPr>
        <w:tabs>
          <w:tab w:val="left" w:pos="425"/>
        </w:tabs>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不小于9英寸彩色显示屏，分辨率不小于1</w:t>
      </w:r>
      <w:r>
        <w:rPr>
          <w:rFonts w:ascii="宋体" w:hAnsi="宋体"/>
          <w:color w:val="000000" w:themeColor="text1"/>
          <w:szCs w:val="21"/>
          <w14:textFill>
            <w14:solidFill>
              <w14:schemeClr w14:val="tx1"/>
            </w14:solidFill>
          </w14:textFill>
        </w:rPr>
        <w:t>280*800</w:t>
      </w:r>
    </w:p>
    <w:p>
      <w:pPr>
        <w:numPr>
          <w:ilvl w:val="0"/>
          <w:numId w:val="8"/>
        </w:numPr>
        <w:tabs>
          <w:tab w:val="left" w:pos="425"/>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操作软件支持在Android、Windows等不同平台应用，必须为嵌入式软件应用，设备体积小巧轻便，主要用于出诊、床旁，支持多点触控操作；</w:t>
      </w:r>
    </w:p>
    <w:p>
      <w:pPr>
        <w:pStyle w:val="30"/>
        <w:numPr>
          <w:ilvl w:val="0"/>
          <w:numId w:val="8"/>
        </w:numPr>
        <w:ind w:firstLineChars="0"/>
        <w:rPr>
          <w:rFonts w:ascii="宋体" w:hAnsi="宋体"/>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操作系统须为安卓系统 ；采集器支持WIFi、蓝牙移动网络技术，采集器重量＜70g，方便临床使用。（现场演示数据采集及传输）</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w:t>
      </w:r>
      <w:r>
        <w:rPr>
          <w:rFonts w:ascii="宋体" w:hAnsi="宋体"/>
          <w:color w:val="000000" w:themeColor="text1"/>
          <w:szCs w:val="21"/>
          <w14:textFill>
            <w14:solidFill>
              <w14:schemeClr w14:val="tx1"/>
            </w14:solidFill>
          </w14:textFill>
        </w:rPr>
        <w:t>Worklist</w:t>
      </w:r>
      <w:r>
        <w:rPr>
          <w:rFonts w:hint="eastAsia" w:ascii="宋体" w:hAnsi="宋体"/>
          <w:color w:val="000000" w:themeColor="text1"/>
          <w:szCs w:val="21"/>
          <w14:textFill>
            <w14:solidFill>
              <w14:schemeClr w14:val="tx1"/>
            </w14:solidFill>
          </w14:textFill>
        </w:rPr>
        <w:t>功能的心电图机支持</w:t>
      </w:r>
      <w:r>
        <w:rPr>
          <w:rFonts w:ascii="宋体" w:hAnsi="宋体"/>
          <w:color w:val="000000" w:themeColor="text1"/>
          <w:szCs w:val="21"/>
          <w14:textFill>
            <w14:solidFill>
              <w14:schemeClr w14:val="tx1"/>
            </w14:solidFill>
          </w14:textFill>
        </w:rPr>
        <w:t>HIS</w:t>
      </w:r>
      <w:r>
        <w:rPr>
          <w:rFonts w:hint="eastAsia" w:ascii="宋体" w:hAnsi="宋体"/>
          <w:color w:val="000000" w:themeColor="text1"/>
          <w:szCs w:val="21"/>
          <w14:textFill>
            <w14:solidFill>
              <w14:schemeClr w14:val="tx1"/>
            </w14:solidFill>
          </w14:textFill>
        </w:rPr>
        <w:t>提取患者信息，不用人工录入。</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支持心电采集放大器和平板电脑采用蓝牙无线连接。</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支持新病例接收语音提醒。</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支持新病例接收软件推送提醒。</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支持多导联心电图采集，</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导、15导、18导同步心电图采集技术。</w:t>
      </w:r>
    </w:p>
    <w:p>
      <w:pPr>
        <w:numPr>
          <w:ilvl w:val="0"/>
          <w:numId w:val="8"/>
        </w:numPr>
        <w:tabs>
          <w:tab w:val="left" w:pos="425"/>
        </w:tabs>
        <w:spacing w:after="156" w:afterLines="50"/>
        <w:rPr>
          <w:rFonts w:ascii="宋体" w:hAnsi="宋体" w:cs="仿宋"/>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支持VCG（空间向量心电图）功能</w:t>
      </w:r>
      <w:r>
        <w:rPr>
          <w:rFonts w:hint="eastAsia" w:ascii="宋体" w:hAnsi="宋体"/>
          <w:bCs/>
          <w:color w:val="000000" w:themeColor="text1"/>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要求</w:t>
      </w:r>
      <w:r>
        <w:rPr>
          <w:rFonts w:ascii="宋体" w:hAnsi="宋体" w:cs="仿宋"/>
          <w:color w:val="000000" w:themeColor="text1"/>
          <w:szCs w:val="21"/>
          <w14:textFill>
            <w14:solidFill>
              <w14:schemeClr w14:val="tx1"/>
            </w14:solidFill>
          </w14:textFill>
        </w:rPr>
        <w:t>医疗器械注册证上明确说明。</w:t>
      </w:r>
    </w:p>
    <w:p>
      <w:pPr>
        <w:numPr>
          <w:ilvl w:val="0"/>
          <w:numId w:val="8"/>
        </w:numPr>
        <w:tabs>
          <w:tab w:val="left" w:pos="425"/>
        </w:tabs>
        <w:spacing w:after="156" w:afterLines="50"/>
        <w:rPr>
          <w:rFonts w:ascii="宋体" w:hAnsi="宋体" w:cs="仿宋"/>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支持TVCG（时间心电向量图）功能</w:t>
      </w:r>
      <w:r>
        <w:rPr>
          <w:rFonts w:hint="eastAsia" w:ascii="宋体" w:hAnsi="宋体"/>
          <w:bCs/>
          <w:color w:val="000000" w:themeColor="text1"/>
          <w:szCs w:val="21"/>
          <w14:textFill>
            <w14:solidFill>
              <w14:schemeClr w14:val="tx1"/>
            </w14:solidFill>
          </w14:textFill>
        </w:rPr>
        <w:t>，要求医疗器械注册证上明确说明。</w:t>
      </w:r>
    </w:p>
    <w:p>
      <w:pPr>
        <w:numPr>
          <w:ilvl w:val="0"/>
          <w:numId w:val="8"/>
        </w:numPr>
        <w:tabs>
          <w:tab w:val="left" w:pos="425"/>
        </w:tabs>
        <w:spacing w:after="156" w:afterLines="50"/>
        <w:rPr>
          <w:rFonts w:ascii="宋体" w:hAnsi="宋体" w:cs="仿宋"/>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支持心室晚电位（VLP）功能</w:t>
      </w:r>
      <w:r>
        <w:rPr>
          <w:rFonts w:hint="eastAsia" w:ascii="宋体" w:hAnsi="宋体"/>
          <w:bCs/>
          <w:color w:val="000000" w:themeColor="text1"/>
          <w:szCs w:val="21"/>
          <w14:textFill>
            <w14:solidFill>
              <w14:schemeClr w14:val="tx1"/>
            </w14:solidFill>
          </w14:textFill>
        </w:rPr>
        <w:t>，要求医疗器械注册证上明确说明。</w:t>
      </w:r>
    </w:p>
    <w:p>
      <w:pPr>
        <w:numPr>
          <w:ilvl w:val="0"/>
          <w:numId w:val="8"/>
        </w:numPr>
        <w:tabs>
          <w:tab w:val="left" w:pos="425"/>
        </w:tabs>
        <w:spacing w:after="156" w:afterLines="50"/>
        <w:rPr>
          <w:rFonts w:ascii="宋体" w:hAnsi="宋体" w:cs="仿宋"/>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w:t>
      </w:r>
      <w:r>
        <w:rPr>
          <w:rFonts w:hint="eastAsia" w:ascii="宋体" w:hAnsi="宋体" w:cs="仿宋"/>
          <w:color w:val="000000" w:themeColor="text1"/>
          <w:szCs w:val="21"/>
          <w14:textFill>
            <w14:solidFill>
              <w14:schemeClr w14:val="tx1"/>
            </w14:solidFill>
          </w14:textFill>
        </w:rPr>
        <w:t>支持心率变异(HRV)功能，</w:t>
      </w:r>
      <w:r>
        <w:rPr>
          <w:rFonts w:hint="eastAsia" w:ascii="宋体" w:hAnsi="宋体"/>
          <w:bCs/>
          <w:color w:val="000000" w:themeColor="text1"/>
          <w:szCs w:val="21"/>
          <w14:textFill>
            <w14:solidFill>
              <w14:schemeClr w14:val="tx1"/>
            </w14:solidFill>
          </w14:textFill>
        </w:rPr>
        <w:t>要求医疗器械注册证上明确说明。</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w:t>
      </w:r>
      <w:r>
        <w:rPr>
          <w:rFonts w:ascii="宋体" w:hAnsi="宋体"/>
          <w:color w:val="000000" w:themeColor="text1"/>
          <w:szCs w:val="21"/>
          <w14:textFill>
            <w14:solidFill>
              <w14:schemeClr w14:val="tx1"/>
            </w14:solidFill>
          </w14:textFill>
        </w:rPr>
        <w:t>150</w:t>
      </w:r>
      <w:r>
        <w:rPr>
          <w:rFonts w:hint="eastAsia" w:ascii="宋体" w:hAnsi="宋体"/>
          <w:color w:val="000000" w:themeColor="text1"/>
          <w:szCs w:val="21"/>
          <w14:textFill>
            <w14:solidFill>
              <w14:schemeClr w14:val="tx1"/>
            </w14:solidFill>
          </w14:textFill>
        </w:rPr>
        <w:t>分钟连续监测、实时记录心电图数据，针对临床上的各种复杂心律失常具有很大的使用价值。</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支持心电图事件记录。</w:t>
      </w:r>
    </w:p>
    <w:p>
      <w:pPr>
        <w:numPr>
          <w:ilvl w:val="0"/>
          <w:numId w:val="8"/>
        </w:numPr>
        <w:tabs>
          <w:tab w:val="left" w:pos="425"/>
        </w:tabs>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心电图支持至少</w:t>
      </w:r>
      <w:r>
        <w:rPr>
          <w:rFonts w:ascii="宋体" w:hAnsi="宋体"/>
          <w:color w:val="000000" w:themeColor="text1"/>
          <w:szCs w:val="21"/>
          <w14:textFill>
            <w14:solidFill>
              <w14:schemeClr w14:val="tx1"/>
            </w14:solidFill>
          </w14:textFill>
        </w:rPr>
        <w:t>2000</w:t>
      </w:r>
      <w:r>
        <w:rPr>
          <w:rFonts w:hint="eastAsia" w:ascii="宋体" w:hAnsi="宋体"/>
          <w:color w:val="000000" w:themeColor="text1"/>
          <w:szCs w:val="21"/>
          <w14:textFill>
            <w14:solidFill>
              <w14:schemeClr w14:val="tx1"/>
            </w14:solidFill>
          </w14:textFill>
        </w:rPr>
        <w:t>0份病例存储。</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支持美国的</w:t>
      </w:r>
      <w:r>
        <w:rPr>
          <w:rFonts w:ascii="宋体" w:hAnsi="宋体"/>
          <w:color w:val="000000" w:themeColor="text1"/>
          <w:szCs w:val="21"/>
          <w14:textFill>
            <w14:solidFill>
              <w14:schemeClr w14:val="tx1"/>
            </w14:solidFill>
          </w14:textFill>
        </w:rPr>
        <w:t>FDA-XML</w:t>
      </w:r>
      <w:r>
        <w:rPr>
          <w:rFonts w:hint="eastAsia" w:ascii="宋体" w:hAnsi="宋体"/>
          <w:color w:val="000000" w:themeColor="text1"/>
          <w:szCs w:val="21"/>
          <w14:textFill>
            <w14:solidFill>
              <w14:schemeClr w14:val="tx1"/>
            </w14:solidFill>
          </w14:textFill>
        </w:rPr>
        <w:t>、欧洲</w:t>
      </w:r>
      <w:r>
        <w:rPr>
          <w:rFonts w:ascii="宋体" w:hAnsi="宋体"/>
          <w:color w:val="000000" w:themeColor="text1"/>
          <w:szCs w:val="21"/>
          <w14:textFill>
            <w14:solidFill>
              <w14:schemeClr w14:val="tx1"/>
            </w14:solidFill>
          </w14:textFill>
        </w:rPr>
        <w:t>SCP-ECG</w:t>
      </w:r>
      <w:r>
        <w:rPr>
          <w:rFonts w:hint="eastAsia" w:ascii="宋体" w:hAnsi="宋体"/>
          <w:color w:val="000000" w:themeColor="text1"/>
          <w:szCs w:val="21"/>
          <w14:textFill>
            <w14:solidFill>
              <w14:schemeClr w14:val="tx1"/>
            </w14:solidFill>
          </w14:textFill>
        </w:rPr>
        <w:t>等国际标准数据格式存储数据</w:t>
      </w:r>
    </w:p>
    <w:p>
      <w:pPr>
        <w:rPr>
          <w:rFonts w:hint="eastAsia" w:ascii="宋体" w:hAnsi="宋体"/>
          <w:color w:val="000000" w:themeColor="text1"/>
          <w:szCs w:val="21"/>
          <w:lang w:val="en-US" w:eastAsia="zh-CN"/>
          <w14:textFill>
            <w14:solidFill>
              <w14:schemeClr w14:val="tx1"/>
            </w14:solidFill>
          </w14:textFill>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Pr>
        <w:spacing w:line="360" w:lineRule="auto"/>
        <w:rPr>
          <w:rFonts w:ascii="宋体" w:hAnsi="宋体" w:cs="宋体"/>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vert="horz" wrap="none" lIns="0" tIns="0" rIns="0" bIns="0" anchor="t">
                      <a:spAutoFit/>
                    </wps:bodyPr>
                  </wps:wsp>
                </a:graphicData>
              </a:graphic>
            </wp:anchor>
          </w:drawing>
        </mc:Choice>
        <mc:Fallback>
          <w:pict>
            <v:shape id="文本框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h836awAEAAGoDAAAOAAAAAAAAAAEAIAAAAB4BAABkcnMvZTJvRG9jLnhtbFBLBQYA&#10;AAAABgAGAFkBAABQBQ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pPr>
    <w:r>
      <w:rPr>
        <w:rFonts w:hint="eastAsia" w:ascii="黑体" w:hAnsi="黑体" w:eastAsia="黑体" w:cs="黑体"/>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C"/>
    <w:lvl w:ilvl="0" w:tentative="0">
      <w:start w:val="1"/>
      <w:numFmt w:val="bullet"/>
      <w:lvlText w:val=""/>
      <w:lvlJc w:val="left"/>
      <w:pPr>
        <w:ind w:left="987" w:hanging="420"/>
      </w:pPr>
      <w:rPr>
        <w:rFonts w:hint="default" w:ascii="Symbol" w:hAnsi="Symbol"/>
      </w:rPr>
    </w:lvl>
    <w:lvl w:ilvl="1" w:tentative="0">
      <w:start w:val="1"/>
      <w:numFmt w:val="decimal"/>
      <w:lvlText w:val="%2."/>
      <w:lvlJc w:val="left"/>
      <w:pPr>
        <w:ind w:left="1407" w:hanging="420"/>
      </w:pPr>
      <w:rPr>
        <w:rFonts w:hint="default" w:ascii="Times New Roman"/>
      </w:rPr>
    </w:lvl>
    <w:lvl w:ilvl="2" w:tentative="0">
      <w:start w:val="1"/>
      <w:numFmt w:val="decimal"/>
      <w:lvlText w:val="%3."/>
      <w:lvlJc w:val="left"/>
      <w:pPr>
        <w:tabs>
          <w:tab w:val="left" w:pos="2160"/>
        </w:tabs>
        <w:ind w:left="2160" w:hanging="360"/>
      </w:pPr>
      <w:rPr>
        <w:rFonts w:hint="default" w:ascii="Times New Roman"/>
      </w:rPr>
    </w:lvl>
    <w:lvl w:ilvl="3" w:tentative="0">
      <w:start w:val="1"/>
      <w:numFmt w:val="decimal"/>
      <w:lvlText w:val="%4."/>
      <w:lvlJc w:val="left"/>
      <w:pPr>
        <w:tabs>
          <w:tab w:val="left" w:pos="2880"/>
        </w:tabs>
        <w:ind w:left="2880" w:hanging="360"/>
      </w:pPr>
      <w:rPr>
        <w:rFonts w:hint="default" w:ascii="Times New Roman"/>
      </w:rPr>
    </w:lvl>
    <w:lvl w:ilvl="4" w:tentative="0">
      <w:start w:val="1"/>
      <w:numFmt w:val="decimal"/>
      <w:pStyle w:val="7"/>
      <w:lvlText w:val="%5."/>
      <w:lvlJc w:val="left"/>
      <w:pPr>
        <w:tabs>
          <w:tab w:val="left" w:pos="3600"/>
        </w:tabs>
        <w:ind w:left="3600" w:hanging="360"/>
      </w:pPr>
      <w:rPr>
        <w:rFonts w:hint="default" w:ascii="Times New Roman"/>
      </w:rPr>
    </w:lvl>
    <w:lvl w:ilvl="5" w:tentative="0">
      <w:start w:val="1"/>
      <w:numFmt w:val="decimal"/>
      <w:lvlText w:val="%6."/>
      <w:lvlJc w:val="left"/>
      <w:pPr>
        <w:tabs>
          <w:tab w:val="left" w:pos="4320"/>
        </w:tabs>
        <w:ind w:left="4320" w:hanging="360"/>
      </w:pPr>
      <w:rPr>
        <w:rFonts w:hint="default" w:ascii="Times New Roman"/>
      </w:rPr>
    </w:lvl>
    <w:lvl w:ilvl="6" w:tentative="0">
      <w:start w:val="1"/>
      <w:numFmt w:val="decimal"/>
      <w:lvlText w:val="%7."/>
      <w:lvlJc w:val="left"/>
      <w:pPr>
        <w:tabs>
          <w:tab w:val="left" w:pos="5040"/>
        </w:tabs>
        <w:ind w:left="5040" w:hanging="360"/>
      </w:pPr>
      <w:rPr>
        <w:rFonts w:hint="default" w:ascii="Times New Roman"/>
      </w:rPr>
    </w:lvl>
    <w:lvl w:ilvl="7" w:tentative="0">
      <w:start w:val="1"/>
      <w:numFmt w:val="decimal"/>
      <w:lvlText w:val="%8."/>
      <w:lvlJc w:val="left"/>
      <w:pPr>
        <w:tabs>
          <w:tab w:val="left" w:pos="5760"/>
        </w:tabs>
        <w:ind w:left="5760" w:hanging="360"/>
      </w:pPr>
      <w:rPr>
        <w:rFonts w:hint="default" w:ascii="Times New Roman"/>
      </w:rPr>
    </w:lvl>
    <w:lvl w:ilvl="8" w:tentative="0">
      <w:start w:val="1"/>
      <w:numFmt w:val="decimal"/>
      <w:lvlText w:val="%9."/>
      <w:lvlJc w:val="left"/>
      <w:pPr>
        <w:tabs>
          <w:tab w:val="left" w:pos="6480"/>
        </w:tabs>
        <w:ind w:left="6480" w:hanging="360"/>
      </w:pPr>
      <w:rPr>
        <w:rFonts w:hint="default" w:ascii="Times New Roman"/>
      </w:rPr>
    </w:lvl>
  </w:abstractNum>
  <w:abstractNum w:abstractNumId="1">
    <w:nsid w:val="346D78CA"/>
    <w:multiLevelType w:val="singleLevel"/>
    <w:tmpl w:val="346D78CA"/>
    <w:lvl w:ilvl="0" w:tentative="0">
      <w:start w:val="1"/>
      <w:numFmt w:val="decimal"/>
      <w:lvlText w:val="%1)"/>
      <w:lvlJc w:val="left"/>
      <w:pPr>
        <w:ind w:left="425" w:hanging="425"/>
      </w:pPr>
      <w:rPr>
        <w:rFonts w:hint="default"/>
      </w:rPr>
    </w:lvl>
  </w:abstractNum>
  <w:abstractNum w:abstractNumId="2">
    <w:nsid w:val="56CADE40"/>
    <w:multiLevelType w:val="singleLevel"/>
    <w:tmpl w:val="56CADE40"/>
    <w:lvl w:ilvl="0" w:tentative="0">
      <w:start w:val="1"/>
      <w:numFmt w:val="decimal"/>
      <w:lvlText w:val="%1)"/>
      <w:lvlJc w:val="left"/>
      <w:pPr>
        <w:tabs>
          <w:tab w:val="left" w:pos="425"/>
        </w:tabs>
        <w:ind w:left="425" w:hanging="425"/>
      </w:pPr>
      <w:rPr>
        <w:rFonts w:hint="default"/>
      </w:rPr>
    </w:lvl>
  </w:abstractNum>
  <w:abstractNum w:abstractNumId="3">
    <w:nsid w:val="583BC6D8"/>
    <w:multiLevelType w:val="singleLevel"/>
    <w:tmpl w:val="583BC6D8"/>
    <w:lvl w:ilvl="0" w:tentative="0">
      <w:start w:val="1"/>
      <w:numFmt w:val="decimal"/>
      <w:lvlText w:val="%1)"/>
      <w:lvlJc w:val="left"/>
      <w:pPr>
        <w:ind w:left="425" w:hanging="425"/>
      </w:pPr>
      <w:rPr>
        <w:rFonts w:hint="default"/>
      </w:rPr>
    </w:lvl>
  </w:abstractNum>
  <w:abstractNum w:abstractNumId="4">
    <w:nsid w:val="583BC854"/>
    <w:multiLevelType w:val="singleLevel"/>
    <w:tmpl w:val="583BC854"/>
    <w:lvl w:ilvl="0" w:tentative="0">
      <w:start w:val="1"/>
      <w:numFmt w:val="decimal"/>
      <w:lvlText w:val="%1)"/>
      <w:lvlJc w:val="left"/>
      <w:pPr>
        <w:ind w:left="425" w:hanging="425"/>
      </w:pPr>
      <w:rPr>
        <w:rFonts w:hint="default"/>
      </w:rPr>
    </w:lvl>
  </w:abstractNum>
  <w:abstractNum w:abstractNumId="5">
    <w:nsid w:val="59A38D0F"/>
    <w:multiLevelType w:val="singleLevel"/>
    <w:tmpl w:val="59A38D0F"/>
    <w:lvl w:ilvl="0" w:tentative="0">
      <w:start w:val="1"/>
      <w:numFmt w:val="decimal"/>
      <w:lvlText w:val="%1)"/>
      <w:lvlJc w:val="left"/>
      <w:pPr>
        <w:ind w:left="425" w:hanging="425"/>
      </w:pPr>
      <w:rPr>
        <w:rFonts w:hint="default"/>
      </w:rPr>
    </w:lvl>
  </w:abstractNum>
  <w:abstractNum w:abstractNumId="6">
    <w:nsid w:val="59A3ABD4"/>
    <w:multiLevelType w:val="singleLevel"/>
    <w:tmpl w:val="59A3ABD4"/>
    <w:lvl w:ilvl="0" w:tentative="0">
      <w:start w:val="1"/>
      <w:numFmt w:val="decimal"/>
      <w:lvlText w:val="%1)"/>
      <w:lvlJc w:val="left"/>
      <w:pPr>
        <w:ind w:left="425" w:hanging="425"/>
      </w:pPr>
      <w:rPr>
        <w:rFonts w:hint="default"/>
      </w:rPr>
    </w:lvl>
  </w:abstractNum>
  <w:abstractNum w:abstractNumId="7">
    <w:nsid w:val="6D4F4BA1"/>
    <w:multiLevelType w:val="singleLevel"/>
    <w:tmpl w:val="6D4F4BA1"/>
    <w:lvl w:ilvl="0" w:tentative="0">
      <w:start w:val="1"/>
      <w:numFmt w:val="decimal"/>
      <w:lvlText w:val="%1)"/>
      <w:lvlJc w:val="left"/>
      <w:pPr>
        <w:tabs>
          <w:tab w:val="left" w:pos="425"/>
        </w:tabs>
        <w:ind w:left="425" w:hanging="425"/>
      </w:pPr>
      <w:rPr>
        <w:rFonts w:hint="default"/>
      </w:rPr>
    </w:lvl>
  </w:abstractNum>
  <w:num w:numId="1">
    <w:abstractNumId w:val="0"/>
  </w:num>
  <w:num w:numId="2">
    <w:abstractNumId w:val="5"/>
  </w:num>
  <w:num w:numId="3">
    <w:abstractNumId w:val="4"/>
  </w:num>
  <w:num w:numId="4">
    <w:abstractNumId w:val="1"/>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4DFF"/>
    <w:rsid w:val="00172A27"/>
    <w:rsid w:val="0017337A"/>
    <w:rsid w:val="002327B8"/>
    <w:rsid w:val="0025105B"/>
    <w:rsid w:val="003F2EDD"/>
    <w:rsid w:val="00465B4B"/>
    <w:rsid w:val="00487AFB"/>
    <w:rsid w:val="00503AE5"/>
    <w:rsid w:val="005317E6"/>
    <w:rsid w:val="00556144"/>
    <w:rsid w:val="005F162A"/>
    <w:rsid w:val="00671FA1"/>
    <w:rsid w:val="006D0CFF"/>
    <w:rsid w:val="007F1169"/>
    <w:rsid w:val="00821B32"/>
    <w:rsid w:val="00922F10"/>
    <w:rsid w:val="009F4CB0"/>
    <w:rsid w:val="00AB6317"/>
    <w:rsid w:val="00F46700"/>
    <w:rsid w:val="05D27444"/>
    <w:rsid w:val="08D93854"/>
    <w:rsid w:val="0D3934FC"/>
    <w:rsid w:val="0E34401B"/>
    <w:rsid w:val="0F382357"/>
    <w:rsid w:val="0FE810E8"/>
    <w:rsid w:val="10177805"/>
    <w:rsid w:val="15DA26E9"/>
    <w:rsid w:val="19253CB1"/>
    <w:rsid w:val="196D39F0"/>
    <w:rsid w:val="1BA87AE9"/>
    <w:rsid w:val="1DFE5DE1"/>
    <w:rsid w:val="1FDB5B24"/>
    <w:rsid w:val="228341C8"/>
    <w:rsid w:val="2424078B"/>
    <w:rsid w:val="24687EE1"/>
    <w:rsid w:val="247959FD"/>
    <w:rsid w:val="26211B9C"/>
    <w:rsid w:val="29073226"/>
    <w:rsid w:val="2B9C3512"/>
    <w:rsid w:val="2F051569"/>
    <w:rsid w:val="334C7FF9"/>
    <w:rsid w:val="362910E1"/>
    <w:rsid w:val="3C164F7E"/>
    <w:rsid w:val="3E280DE1"/>
    <w:rsid w:val="3F514E43"/>
    <w:rsid w:val="40BA12BE"/>
    <w:rsid w:val="43421511"/>
    <w:rsid w:val="45140FF5"/>
    <w:rsid w:val="47924FA8"/>
    <w:rsid w:val="48E14BA6"/>
    <w:rsid w:val="4C721584"/>
    <w:rsid w:val="513B0D2E"/>
    <w:rsid w:val="519500B6"/>
    <w:rsid w:val="5278676D"/>
    <w:rsid w:val="5465127C"/>
    <w:rsid w:val="54CB6772"/>
    <w:rsid w:val="54F61051"/>
    <w:rsid w:val="57D60749"/>
    <w:rsid w:val="5CAD4E2E"/>
    <w:rsid w:val="5F861796"/>
    <w:rsid w:val="5F896DB3"/>
    <w:rsid w:val="62FA3ECF"/>
    <w:rsid w:val="66FA206C"/>
    <w:rsid w:val="673B2BE1"/>
    <w:rsid w:val="68C53CF4"/>
    <w:rsid w:val="69024C9A"/>
    <w:rsid w:val="693F3774"/>
    <w:rsid w:val="6B19215B"/>
    <w:rsid w:val="6C747F81"/>
    <w:rsid w:val="6F51423D"/>
    <w:rsid w:val="70373E93"/>
    <w:rsid w:val="71CA0C3C"/>
    <w:rsid w:val="75C621B8"/>
    <w:rsid w:val="77D36779"/>
    <w:rsid w:val="787B2961"/>
    <w:rsid w:val="792C64EA"/>
    <w:rsid w:val="79E97646"/>
    <w:rsid w:val="7AA61424"/>
    <w:rsid w:val="7AF857A9"/>
    <w:rsid w:val="7E60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360" w:lineRule="auto"/>
      <w:jc w:val="center"/>
      <w:outlineLvl w:val="1"/>
    </w:pPr>
    <w:rPr>
      <w:rFonts w:ascii="Cambria" w:hAnsi="Cambria" w:eastAsia="黑体"/>
      <w:b/>
      <w:bCs/>
      <w:sz w:val="32"/>
      <w:szCs w:val="32"/>
    </w:rPr>
  </w:style>
  <w:style w:type="paragraph" w:styleId="4">
    <w:name w:val="heading 3"/>
    <w:basedOn w:val="1"/>
    <w:next w:val="1"/>
    <w:qFormat/>
    <w:uiPriority w:val="0"/>
    <w:pPr>
      <w:keepNext/>
      <w:keepLines/>
      <w:spacing w:before="260" w:after="260"/>
      <w:jc w:val="center"/>
      <w:outlineLvl w:val="2"/>
    </w:pPr>
    <w:rPr>
      <w:rFonts w:ascii="Calibri" w:hAnsi="Calibri" w:eastAsia="黑体"/>
      <w:b/>
      <w:sz w:val="28"/>
    </w:rPr>
  </w:style>
  <w:style w:type="paragraph" w:styleId="5">
    <w:name w:val="heading 4"/>
    <w:basedOn w:val="1"/>
    <w:next w:val="6"/>
    <w:qFormat/>
    <w:uiPriority w:val="0"/>
    <w:pPr>
      <w:keepNext/>
      <w:keepLines/>
      <w:spacing w:before="160" w:after="170"/>
      <w:jc w:val="left"/>
      <w:outlineLvl w:val="3"/>
    </w:pPr>
    <w:rPr>
      <w:rFonts w:ascii="Arial" w:hAnsi="Arial" w:eastAsia="黑体"/>
      <w:b/>
      <w:sz w:val="24"/>
    </w:rPr>
  </w:style>
  <w:style w:type="paragraph" w:styleId="7">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4">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left="420" w:leftChars="175" w:firstLine="420"/>
    </w:pPr>
  </w:style>
  <w:style w:type="paragraph" w:styleId="8">
    <w:name w:val="toc 7"/>
    <w:basedOn w:val="1"/>
    <w:next w:val="1"/>
    <w:qFormat/>
    <w:uiPriority w:val="0"/>
    <w:pPr>
      <w:ind w:left="2520" w:leftChars="1200"/>
    </w:p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firstLine="420" w:firstLineChars="200"/>
    </w:pPr>
  </w:style>
  <w:style w:type="paragraph" w:styleId="11">
    <w:name w:val="toc 5"/>
    <w:basedOn w:val="1"/>
    <w:next w:val="1"/>
    <w:qFormat/>
    <w:uiPriority w:val="0"/>
    <w:pPr>
      <w:ind w:left="1680" w:leftChars="800"/>
    </w:pPr>
  </w:style>
  <w:style w:type="paragraph" w:styleId="12">
    <w:name w:val="toc 3"/>
    <w:basedOn w:val="1"/>
    <w:next w:val="1"/>
    <w:qFormat/>
    <w:uiPriority w:val="39"/>
    <w:pPr>
      <w:ind w:left="840" w:leftChars="400"/>
    </w:pPr>
  </w:style>
  <w:style w:type="paragraph" w:styleId="13">
    <w:name w:val="toc 8"/>
    <w:basedOn w:val="1"/>
    <w:next w:val="1"/>
    <w:qFormat/>
    <w:uiPriority w:val="0"/>
    <w:pPr>
      <w:ind w:left="2940" w:leftChars="1400"/>
    </w:pPr>
  </w:style>
  <w:style w:type="paragraph" w:styleId="14">
    <w:name w:val="Balloon Text"/>
    <w:basedOn w:val="1"/>
    <w:link w:val="2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0"/>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0"/>
    <w:pPr>
      <w:ind w:left="3360" w:leftChars="1600"/>
    </w:pPr>
  </w:style>
  <w:style w:type="paragraph" w:styleId="22">
    <w:name w:val="Body Text First Indent 2"/>
    <w:basedOn w:val="1"/>
    <w:qFormat/>
    <w:uiPriority w:val="0"/>
    <w:pPr>
      <w:spacing w:line="400" w:lineRule="exact"/>
      <w:ind w:left="420" w:leftChars="200" w:firstLine="200"/>
    </w:pPr>
    <w:rPr>
      <w:rFonts w:ascii="宋体" w:hAnsi="宋体"/>
    </w:rPr>
  </w:style>
  <w:style w:type="character" w:styleId="25">
    <w:name w:val="Hyperlink"/>
    <w:qFormat/>
    <w:uiPriority w:val="0"/>
    <w:rPr>
      <w:color w:val="0000FF"/>
      <w:u w:val="single"/>
    </w:rPr>
  </w:style>
  <w:style w:type="paragraph" w:customStyle="1" w:styleId="26">
    <w:name w:val="列出段落1"/>
    <w:basedOn w:val="1"/>
    <w:qFormat/>
    <w:uiPriority w:val="0"/>
    <w:pPr>
      <w:ind w:firstLine="420" w:firstLineChars="200"/>
    </w:pPr>
  </w:style>
  <w:style w:type="paragraph" w:customStyle="1" w:styleId="27">
    <w:name w:val="列出段落2"/>
    <w:basedOn w:val="1"/>
    <w:qFormat/>
    <w:uiPriority w:val="0"/>
    <w:pPr>
      <w:ind w:firstLine="420" w:firstLineChars="200"/>
    </w:pPr>
  </w:style>
  <w:style w:type="paragraph" w:customStyle="1" w:styleId="28">
    <w:name w:val="列出段落11"/>
    <w:basedOn w:val="1"/>
    <w:qFormat/>
    <w:uiPriority w:val="0"/>
    <w:pPr>
      <w:spacing w:line="400" w:lineRule="exact"/>
      <w:ind w:firstLine="200"/>
    </w:pPr>
    <w:rPr>
      <w:rFonts w:ascii="Arial"/>
    </w:rPr>
  </w:style>
  <w:style w:type="character" w:customStyle="1" w:styleId="29">
    <w:name w:val="批注框文本 Char"/>
    <w:basedOn w:val="24"/>
    <w:link w:val="14"/>
    <w:qFormat/>
    <w:uiPriority w:val="0"/>
    <w:rPr>
      <w:kern w:val="2"/>
      <w:sz w:val="18"/>
      <w:szCs w:val="18"/>
    </w:rPr>
  </w:style>
  <w:style w:type="paragraph" w:customStyle="1" w:styleId="30">
    <w:name w:val="List Paragraph"/>
    <w:basedOn w:val="1"/>
    <w:qFormat/>
    <w:uiPriority w:val="34"/>
    <w:pPr>
      <w:ind w:firstLine="420" w:firstLineChars="200"/>
    </w:pPr>
    <w:rPr>
      <w:szCs w:val="22"/>
    </w:rPr>
  </w:style>
  <w:style w:type="character" w:customStyle="1" w:styleId="3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4187</Words>
  <Characters>23868</Characters>
  <Lines>198</Lines>
  <Paragraphs>55</Paragraphs>
  <TotalTime>6</TotalTime>
  <ScaleCrop>false</ScaleCrop>
  <LinksUpToDate>false</LinksUpToDate>
  <CharactersWithSpaces>28000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2017-01-02T13:05:00Z</dcterms:created>
  <dc:creator>yu</dc:creator>
  <cp:lastModifiedBy>王庆喜</cp:lastModifiedBy>
  <dcterms:modified xsi:type="dcterms:W3CDTF">2019-10-09T07:41:01Z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KSORubyTemplateID" linkTarget="0">
    <vt:lpwstr>6</vt:lpwstr>
  </property>
</Properties>
</file>