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核酸提取仪技术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参数</w:t>
      </w:r>
    </w:p>
    <w:bookmarkEnd w:id="0"/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tbl>
      <w:tblPr>
        <w:tblStyle w:val="2"/>
        <w:tblW w:w="8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67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C8585" w:sz="12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761" w:type="dxa"/>
            <w:tcBorders>
              <w:top w:val="single" w:color="8C8585" w:sz="12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全自动核酸纯化仪仪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*样品通量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1-32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*处理体积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20~1000μ</w:t>
            </w: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eastAsia="zh-CN" w:bidi="ar"/>
              </w:rPr>
              <w:t>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使用耗材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96深孔板+磁棒套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*磁珠收集效率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eastAsia="zh-CN" w:bidi="ar"/>
              </w:rPr>
              <w:t>＞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提纯孔间差（CV）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&lt;3%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操作湿度范围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eastAsia="zh-CN" w:bidi="ar"/>
              </w:rPr>
              <w:t>≤70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操作温度范围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10℃~</w:t>
            </w: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849" w:type="dxa"/>
            <w:vMerge w:val="restart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*加热温度控制范围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nil"/>
              <w:right w:val="single" w:color="8C8585" w:sz="12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裂解加热温度：室温+5℃~125℃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vMerge w:val="continue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761" w:type="dxa"/>
            <w:tcBorders>
              <w:top w:val="nil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洗脱加热温度：室温+5℃~125℃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振荡混合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多模式多档可调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*消毒去污染方式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UV灯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*配套试剂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具备病毒DNA/RNA快速病毒核酸提取试剂盒，快至15Min完成提取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条码扫描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用户可选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试剂类型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开放性试剂，可选用市面上绝大多数磁珠法核酸纯化试剂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操作界面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8寸触摸屏嵌入式一体化操作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程序管理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新建、编辑、删除模式程序；自由灵活编辑提取程序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接口方式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支持USB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条码扫描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用户可选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外形尺寸（mm）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430×395×435mm（L×W×H）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AC100-240V   50Hz/60Hz   600W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49" w:type="dxa"/>
            <w:tcBorders>
              <w:top w:val="single" w:color="848484" w:sz="8" w:space="0"/>
              <w:left w:val="single" w:color="8C8585" w:sz="12" w:space="0"/>
              <w:bottom w:val="single" w:color="848484" w:sz="8" w:space="0"/>
              <w:right w:val="single" w:color="848484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净重</w:t>
            </w:r>
          </w:p>
        </w:tc>
        <w:tc>
          <w:tcPr>
            <w:tcW w:w="6761" w:type="dxa"/>
            <w:tcBorders>
              <w:top w:val="single" w:color="848484" w:sz="8" w:space="0"/>
              <w:left w:val="single" w:color="848484" w:sz="8" w:space="0"/>
              <w:bottom w:val="single" w:color="848484" w:sz="8" w:space="0"/>
              <w:right w:val="single" w:color="8C8585" w:sz="12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32.5kg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D2735"/>
    <w:rsid w:val="78FD2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2021-03-22T00:42:00Z</dcterms:created>
  <dc:creator>小角夫夫</dc:creator>
  <cp:lastModifiedBy>小角夫夫</cp:lastModifiedBy>
  <dcterms:modified xsi:type="dcterms:W3CDTF">2021-03-22T00:45:07Z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