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普定县妇幼保健院院内比选公告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根据医院发展需要，结合我院实际情况，现决定以院内比选方式采购普定县妇幼保健院标准化建设项目消防评测咨询及整改服务，欢迎符合资质的公司参加比选，现将比选有关事项公告如下：</w:t>
      </w:r>
    </w:p>
    <w:p w14:paraId="120B1B50">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普定县妇幼保健院标准化建设项目消防</w:t>
      </w:r>
    </w:p>
    <w:p w14:paraId="612CEB57">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评测咨询及整改服务</w:t>
      </w:r>
    </w:p>
    <w:p w14:paraId="2F78CE43">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FB20250003</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26</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拟2025年4月9下午14:30，如有变动，另行通知。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附件1.普定县妇幼保健院设备、物资院内比选参选须知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2025年3月26日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普定县妇幼保健院设备、物资院内比选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415ACED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满足《中华人民共和国政府采购法》第二十二条规定;</w:t>
      </w:r>
    </w:p>
    <w:p w14:paraId="44040E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具有独立承担民事责任的能力;提供法人或者其他组织的营业执照等证明文件，自然人投标的提供身份证明</w:t>
      </w:r>
      <w:r>
        <w:rPr>
          <w:rFonts w:hint="eastAsia" w:ascii="仿宋" w:hAnsi="仿宋" w:eastAsia="仿宋" w:cs="仿宋"/>
          <w:color w:val="auto"/>
          <w:sz w:val="32"/>
          <w:szCs w:val="32"/>
          <w:lang w:eastAsia="zh-CN"/>
        </w:rPr>
        <w:t>；</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具有良好的商业信誉和健全的财务会计制度:提供 2023 年度经有资质的审计机构出具的审计报告(审计报告应包含资产负责表、利润表(或利润表及利润分配表)、现金流量表和财务报表附注，注:审计报告未加盖审计机构公章、三表一注未加盖会计师事务所审验章均视为无效)或基本开户行的银行2024年以来出具的有效资信证明或财政部门认可的政府采购专业担保机构出具的有效担保函;</w:t>
      </w:r>
    </w:p>
    <w:p w14:paraId="18D84BE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具有依法缴纳税收和社会保障资金的良好记录:提供2024年任意3个月依法缴纳税收的凭证(依法免税的,须提供企业所在地税务部门出具的相应证明)和2024年任意3个月依法缴纳社会保障资金的凭证(以加盖社保机构公章的社保资金收据凭证或加盖社保机构公章的本单位社保缴纳花名册或向税务机关缴纳社保费的完税证明或加盖社保机构公章的其他社保缴纳证明为准);新成立不满3个月的供应商，纳税和社保缴纳未到办理期的，提供承诺函，承诺函格式自拟;</w:t>
      </w:r>
    </w:p>
    <w:p w14:paraId="1D34427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参加本次采购活动前三年内，本公司及公司法定代表人在经营活动中没有违法违规记录:提供参加政府采购活动前三年内在经营活动中本公司及公司法定代表人没有重大违法记录(重大违法记录是指供应商因违法经营受到刑事行政处罚或者责令停产停业、吊销许可证或者执照、较大数额罚款等行政处罚)的书面声明:</w:t>
      </w:r>
    </w:p>
    <w:p w14:paraId="78CE20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）法定代表人参选的必须有法定代表人身份证明及身份证，法人授权委托人参选的必须有法人授权委托书及被授权委托人身份证;</w:t>
      </w:r>
    </w:p>
    <w:p w14:paraId="4C5C2C2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）具有履行合同所必须的设备、人员和专业技术能力;(自行承诺,格式自拟)</w:t>
      </w:r>
    </w:p>
    <w:p w14:paraId="5E676D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）诚信资格要求:①投标人自行承诺:在“信用中国”网站(www.creditchina.gov.cn)、中国政府采购网(www.ccgp. gov.cn)等渠道查询中未被列入失信被执行人名单、重大税收违法失信主体、政府采购严重违法失信行为记录名单，对列入失信被执行人、重大税收违法失信主体、政府采购严重违法失信行为记录名单的供应商，拒绝参与本次政府采购活动，并承担由此造成的一切法律责任及后果(承诺自拟)。</w:t>
      </w:r>
    </w:p>
    <w:p w14:paraId="55B4A2A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参选人自行承诺不存在下述情形:①单位负责人为同一人或者存在直接控股、管理关系的不同投标人，不得参加同一合同项下的政府采购活动。②为项目提供整体设计、规范编制或项目管理、监理、检测等服务的投标人，不得再参加该项目的其他采购活动。</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本项目的特定资格要求：</w:t>
      </w:r>
      <w:r>
        <w:rPr>
          <w:rFonts w:hint="eastAsia" w:ascii="仿宋" w:hAnsi="仿宋" w:eastAsia="仿宋" w:cs="仿宋"/>
          <w:color w:val="auto"/>
          <w:sz w:val="32"/>
          <w:szCs w:val="32"/>
        </w:rPr>
        <w:t>供应商须是在“社会消防技术服务信息系统”中录入的消防评估机构，且在“贵州省消防技术服务综合管理服务平台”中录入的消防评估机构，查询到的机构概况截图加盖供应商公章为准</w:t>
      </w:r>
      <w:r>
        <w:rPr>
          <w:rFonts w:hint="eastAsia" w:ascii="仿宋" w:hAnsi="仿宋" w:eastAsia="仿宋" w:cs="仿宋"/>
          <w:color w:val="auto"/>
          <w:sz w:val="32"/>
          <w:szCs w:val="32"/>
          <w:lang w:eastAsia="zh-CN"/>
        </w:rPr>
        <w:t>；</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.满足附件2的服务要求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.制定切实可行的消防安全评估实施方案</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消防安全评估实施方案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w:t>
      </w:r>
      <w:r>
        <w:rPr>
          <w:rFonts w:hint="eastAsia" w:ascii="仿宋" w:hAnsi="仿宋" w:eastAsia="仿宋" w:cs="仿宋"/>
          <w:sz w:val="32"/>
          <w:szCs w:val="32"/>
          <w:lang w:eastAsia="zh-CN"/>
        </w:rPr>
        <w:t>报价</w:t>
      </w:r>
      <w:r>
        <w:rPr>
          <w:rFonts w:hint="eastAsia" w:ascii="仿宋" w:hAnsi="仿宋" w:eastAsia="仿宋" w:cs="仿宋"/>
          <w:sz w:val="32"/>
          <w:szCs w:val="32"/>
        </w:rPr>
        <w:t>应</w:t>
      </w:r>
      <w:r>
        <w:rPr>
          <w:rFonts w:hint="eastAsia" w:ascii="仿宋" w:hAnsi="仿宋" w:eastAsia="仿宋" w:cs="仿宋"/>
          <w:sz w:val="32"/>
          <w:szCs w:val="32"/>
          <w:lang w:eastAsia="zh-CN"/>
        </w:rPr>
        <w:t>包括但不限于未达到验收要求必要的场地改造、相关消防设备设施采购费用、</w:t>
      </w:r>
      <w:r>
        <w:rPr>
          <w:rFonts w:hint="eastAsia" w:ascii="仿宋" w:hAnsi="仿宋" w:eastAsia="仿宋" w:cs="仿宋"/>
          <w:sz w:val="32"/>
          <w:szCs w:val="32"/>
        </w:rPr>
        <w:t xml:space="preserve">税费等所有费用在内的实际成交价格。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普定县妇幼保健院</w:t>
      </w:r>
      <w:r>
        <w:rPr>
          <w:rFonts w:hint="eastAsia" w:ascii="仿宋" w:hAnsi="仿宋" w:eastAsia="仿宋" w:cs="仿宋"/>
          <w:sz w:val="32"/>
          <w:szCs w:val="32"/>
        </w:rPr>
        <w:t>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9CEADB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A30C87A">
      <w:pPr>
        <w:tabs>
          <w:tab w:val="left" w:pos="756"/>
        </w:tabs>
        <w:spacing w:line="560" w:lineRule="exact"/>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249CCD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2025年3月26日</w:t>
      </w:r>
    </w:p>
    <w:p w14:paraId="330B54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val="en-US" w:eastAsia="zh-CN"/>
        </w:rPr>
        <w:t>服务内容</w:t>
      </w:r>
      <w:r>
        <w:rPr>
          <w:rFonts w:hint="eastAsia" w:ascii="方正小标宋简体" w:hAnsi="方正小标宋简体" w:eastAsia="方正小标宋简体" w:cs="方正小标宋简体"/>
          <w:b/>
          <w:bCs/>
          <w:sz w:val="44"/>
          <w:szCs w:val="44"/>
          <w:lang w:eastAsia="zh-CN"/>
        </w:rPr>
        <w:t>及要求</w:t>
      </w:r>
    </w:p>
    <w:tbl>
      <w:tblPr>
        <w:tblStyle w:val="8"/>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180"/>
        <w:gridCol w:w="159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077"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服务内容</w:t>
            </w:r>
          </w:p>
        </w:tc>
        <w:tc>
          <w:tcPr>
            <w:tcW w:w="5180"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服务要求</w:t>
            </w:r>
          </w:p>
        </w:tc>
        <w:tc>
          <w:tcPr>
            <w:tcW w:w="1593"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77"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普定县妇幼保健院标准化建设项目消防评测及整改咨询服务</w:t>
            </w:r>
          </w:p>
        </w:tc>
        <w:tc>
          <w:tcPr>
            <w:tcW w:w="5180" w:type="dxa"/>
            <w:shd w:val="clear" w:color="auto" w:fill="auto"/>
            <w:vAlign w:val="center"/>
          </w:tcPr>
          <w:p w14:paraId="61F7B4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1、针对普定县妇幼保健院标准化建设项目的消防现状进行评估并出具可行性整改意见；</w:t>
            </w:r>
          </w:p>
          <w:p w14:paraId="072DE5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2、根据整改报告进行整改</w:t>
            </w:r>
          </w:p>
          <w:p w14:paraId="1A72FD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3、针对医院整改后的消防情况出具消防评估报告；</w:t>
            </w:r>
            <w:bookmarkStart w:id="2" w:name="_GoBack"/>
            <w:bookmarkEnd w:id="2"/>
          </w:p>
          <w:p w14:paraId="1F31AB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4、配合医院完成消防验收。</w:t>
            </w:r>
          </w:p>
          <w:p w14:paraId="03AA9E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32"/>
                <w:szCs w:val="32"/>
                <w:lang w:val="en-US" w:eastAsia="zh-CN" w:bidi="ar-SA"/>
              </w:rPr>
            </w:pPr>
          </w:p>
        </w:tc>
        <w:tc>
          <w:tcPr>
            <w:tcW w:w="1593" w:type="dxa"/>
            <w:vAlign w:val="center"/>
          </w:tcPr>
          <w:p w14:paraId="57C13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D3E42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89D7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5D980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本项目评选要素包括：报价及合理性、是否满足服务需求及</w:t>
      </w:r>
      <w:r>
        <w:rPr>
          <w:rFonts w:hint="eastAsia" w:ascii="仿宋" w:hAnsi="仿宋" w:eastAsia="仿宋" w:cs="仿宋"/>
          <w:sz w:val="32"/>
          <w:szCs w:val="32"/>
          <w:lang w:val="en-US" w:eastAsia="zh-CN"/>
        </w:rPr>
        <w:t>消防安全评估实施方案可操作性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2"/>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rPr>
                <w:color w:val="auto"/>
              </w:rPr>
            </w:pPr>
            <w:r>
              <w:rPr>
                <w:rFonts w:hint="eastAsia"/>
                <w:color w:val="auto"/>
                <w:lang w:val="en-US" w:eastAsia="zh-CN"/>
              </w:rPr>
              <w:t>40</w:t>
            </w:r>
            <w:r>
              <w:rPr>
                <w:rFonts w:hint="eastAsia"/>
                <w:color w:val="auto"/>
              </w:rPr>
              <w:t>分</w:t>
            </w:r>
          </w:p>
        </w:tc>
        <w:tc>
          <w:tcPr>
            <w:tcW w:w="11015" w:type="dxa"/>
            <w:noWrap w:val="0"/>
            <w:vAlign w:val="center"/>
          </w:tcPr>
          <w:p w14:paraId="19BFD94A">
            <w:pPr>
              <w:spacing w:line="300" w:lineRule="exact"/>
              <w:rPr>
                <w:iCs/>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tc>
        <w:tc>
          <w:tcPr>
            <w:tcW w:w="997" w:type="dxa"/>
            <w:noWrap w:val="0"/>
            <w:vAlign w:val="center"/>
          </w:tcPr>
          <w:p w14:paraId="1BF44AE1">
            <w:pPr>
              <w:spacing w:line="30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2"/>
              <w:spacing w:line="300" w:lineRule="exact"/>
              <w:ind w:firstLine="207" w:firstLineChars="98"/>
              <w:rPr>
                <w:b/>
                <w:bCs/>
                <w:color w:val="auto"/>
                <w:lang w:val="en-US" w:eastAsia="zh-CN"/>
              </w:rPr>
            </w:pPr>
          </w:p>
        </w:tc>
        <w:tc>
          <w:tcPr>
            <w:tcW w:w="1511" w:type="dxa"/>
            <w:vMerge w:val="continue"/>
            <w:noWrap w:val="0"/>
            <w:vAlign w:val="center"/>
          </w:tcPr>
          <w:p w14:paraId="589530A8">
            <w:pPr>
              <w:pStyle w:val="2"/>
              <w:spacing w:line="300" w:lineRule="exact"/>
              <w:jc w:val="center"/>
              <w:rPr>
                <w:rFonts w:hint="eastAsia"/>
                <w:b/>
                <w:bCs/>
                <w:color w:val="auto"/>
                <w:lang w:val="en-US" w:eastAsia="zh-CN"/>
              </w:rPr>
            </w:pPr>
          </w:p>
        </w:tc>
        <w:tc>
          <w:tcPr>
            <w:tcW w:w="750" w:type="dxa"/>
            <w:noWrap w:val="0"/>
            <w:vAlign w:val="center"/>
          </w:tcPr>
          <w:p w14:paraId="3E08ACD3">
            <w:pPr>
              <w:spacing w:line="300" w:lineRule="exact"/>
              <w:rPr>
                <w:rFonts w:hint="default"/>
                <w:color w:val="auto"/>
                <w:lang w:val="en-US" w:eastAsia="zh-CN"/>
              </w:rPr>
            </w:pPr>
            <w:r>
              <w:rPr>
                <w:rFonts w:hint="eastAsia"/>
                <w:color w:val="auto"/>
                <w:lang w:val="en-US" w:eastAsia="zh-CN"/>
              </w:rPr>
              <w:t>20分</w:t>
            </w:r>
          </w:p>
        </w:tc>
        <w:tc>
          <w:tcPr>
            <w:tcW w:w="11015" w:type="dxa"/>
            <w:noWrap w:val="0"/>
            <w:vAlign w:val="center"/>
          </w:tcPr>
          <w:p w14:paraId="0F9F780E">
            <w:pPr>
              <w:spacing w:line="300" w:lineRule="exact"/>
              <w:rPr>
                <w:rFonts w:hint="eastAsia"/>
                <w:color w:val="auto"/>
                <w:lang w:val="en-US" w:eastAsia="zh-CN"/>
              </w:rPr>
            </w:pPr>
            <w:r>
              <w:rPr>
                <w:rFonts w:hint="eastAsia"/>
                <w:color w:val="auto"/>
                <w:lang w:val="en-US" w:eastAsia="zh-CN"/>
              </w:rPr>
              <w:t>采购人通过相关主管部门的消防验收通过后开始支付服务费。总服务费平均分6个月支付得10分，每增加一个月加1分，以此类推计算总分</w:t>
            </w:r>
          </w:p>
          <w:p w14:paraId="410E4ECE">
            <w:pPr>
              <w:spacing w:line="300" w:lineRule="exact"/>
              <w:rPr>
                <w:rFonts w:hint="default" w:eastAsiaTheme="minorEastAsia"/>
                <w:b/>
                <w:color w:val="auto"/>
                <w:lang w:val="en-US" w:eastAsia="zh-CN"/>
              </w:rPr>
            </w:pPr>
            <w:r>
              <w:rPr>
                <w:rFonts w:hint="eastAsia"/>
                <w:color w:val="auto"/>
                <w:lang w:val="en-US" w:eastAsia="zh-CN"/>
              </w:rPr>
              <w:t>（最高不超过20分）。付款周期低于六个月支付不得分</w:t>
            </w:r>
          </w:p>
        </w:tc>
        <w:tc>
          <w:tcPr>
            <w:tcW w:w="997" w:type="dxa"/>
            <w:noWrap w:val="0"/>
            <w:vAlign w:val="center"/>
          </w:tcPr>
          <w:p w14:paraId="077BEBEF">
            <w:pPr>
              <w:spacing w:line="30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D9B4AB">
            <w:pPr>
              <w:pStyle w:val="2"/>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4DA848DA">
            <w:pPr>
              <w:pStyle w:val="2"/>
              <w:spacing w:line="300" w:lineRule="exact"/>
              <w:jc w:val="center"/>
              <w:rPr>
                <w:rFonts w:hint="eastAsia"/>
                <w:b/>
                <w:color w:val="auto"/>
                <w:lang w:val="en-US" w:eastAsia="zh-CN"/>
              </w:rPr>
            </w:pPr>
            <w:r>
              <w:rPr>
                <w:rFonts w:hint="eastAsia"/>
                <w:b/>
                <w:color w:val="auto"/>
                <w:lang w:val="en-US" w:eastAsia="zh-CN"/>
              </w:rPr>
              <w:t>服务需求</w:t>
            </w:r>
          </w:p>
          <w:p w14:paraId="263DBC2E">
            <w:pPr>
              <w:pStyle w:val="2"/>
              <w:spacing w:line="300" w:lineRule="exact"/>
              <w:jc w:val="center"/>
              <w:rPr>
                <w:b/>
                <w:bCs/>
                <w:color w:val="auto"/>
                <w:lang w:val="en-US" w:eastAsia="zh-CN"/>
              </w:rPr>
            </w:pPr>
            <w:r>
              <w:rPr>
                <w:rFonts w:hint="eastAsia"/>
                <w:b/>
                <w:color w:val="auto"/>
                <w:lang w:val="en-US" w:eastAsia="zh-CN"/>
              </w:rPr>
              <w:t>响应情况</w:t>
            </w:r>
          </w:p>
        </w:tc>
        <w:tc>
          <w:tcPr>
            <w:tcW w:w="750" w:type="dxa"/>
            <w:noWrap w:val="0"/>
            <w:vAlign w:val="center"/>
          </w:tcPr>
          <w:p w14:paraId="37FF70A4">
            <w:pPr>
              <w:spacing w:line="300" w:lineRule="exact"/>
              <w:rPr>
                <w:color w:val="auto"/>
              </w:rPr>
            </w:pPr>
            <w:r>
              <w:rPr>
                <w:rFonts w:hint="eastAsia"/>
                <w:color w:val="auto"/>
                <w:lang w:val="en-US" w:eastAsia="zh-CN"/>
              </w:rPr>
              <w:t>5</w:t>
            </w:r>
            <w:r>
              <w:rPr>
                <w:rFonts w:hint="eastAsia"/>
                <w:color w:val="auto"/>
              </w:rPr>
              <w:t>分</w:t>
            </w:r>
          </w:p>
        </w:tc>
        <w:tc>
          <w:tcPr>
            <w:tcW w:w="11015" w:type="dxa"/>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提供的需求服务</w:t>
            </w:r>
            <w:r>
              <w:rPr>
                <w:rFonts w:hint="eastAsia"/>
                <w:color w:val="auto"/>
              </w:rPr>
              <w:t>偏离程度等进行评审</w:t>
            </w:r>
          </w:p>
          <w:p w14:paraId="0A0D5AC4">
            <w:pPr>
              <w:spacing w:line="300" w:lineRule="exact"/>
              <w:rPr>
                <w:rFonts w:hint="eastAsia"/>
                <w:color w:val="auto"/>
              </w:rPr>
            </w:pPr>
            <w:r>
              <w:rPr>
                <w:rFonts w:hint="eastAsia"/>
                <w:color w:val="auto"/>
              </w:rPr>
              <w:t>承诺:完全响应服务要求及服务标准，得</w:t>
            </w:r>
            <w:r>
              <w:rPr>
                <w:rFonts w:hint="eastAsia"/>
                <w:color w:val="auto"/>
                <w:lang w:val="en-US" w:eastAsia="zh-CN"/>
              </w:rPr>
              <w:t>5</w:t>
            </w:r>
            <w:r>
              <w:rPr>
                <w:rFonts w:hint="eastAsia"/>
                <w:color w:val="auto"/>
              </w:rPr>
              <w:t>分，承诺不符合要求或有采购人不能接受的条件的，此项不得分。</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w:t>
            </w:r>
            <w:r>
              <w:rPr>
                <w:rFonts w:hint="eastAsia" w:cs="宋体"/>
                <w:b/>
                <w:color w:val="auto"/>
                <w:lang w:eastAsia="zh-CN"/>
              </w:rPr>
              <w:t>项目实施后不能达到验收要求</w:t>
            </w:r>
            <w:r>
              <w:rPr>
                <w:rFonts w:hint="eastAsia" w:cs="宋体"/>
                <w:b/>
                <w:color w:val="auto"/>
              </w:rPr>
              <w:t>，将被取消其中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07F0C3AF">
            <w:pPr>
              <w:pStyle w:val="2"/>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2"/>
              <w:spacing w:line="300" w:lineRule="exact"/>
              <w:jc w:val="center"/>
              <w:rPr>
                <w:rFonts w:cs="宋体"/>
                <w:b/>
                <w:bCs/>
                <w:color w:val="auto"/>
                <w:lang w:val="en-US" w:eastAsia="zh-CN"/>
              </w:rPr>
            </w:pPr>
            <w:r>
              <w:rPr>
                <w:rFonts w:hint="eastAsia" w:cs="宋体"/>
                <w:b/>
                <w:bCs/>
                <w:color w:val="auto"/>
                <w:lang w:val="en-US" w:eastAsia="zh-CN"/>
              </w:rPr>
              <w:t>比选资料</w:t>
            </w:r>
          </w:p>
        </w:tc>
        <w:tc>
          <w:tcPr>
            <w:tcW w:w="750" w:type="dxa"/>
            <w:noWrap w:val="0"/>
            <w:vAlign w:val="center"/>
          </w:tcPr>
          <w:p w14:paraId="161BAFED">
            <w:pPr>
              <w:spacing w:line="300" w:lineRule="exact"/>
              <w:rPr>
                <w:rFonts w:cs="宋体"/>
                <w:color w:val="auto"/>
              </w:rPr>
            </w:pPr>
            <w:r>
              <w:rPr>
                <w:rFonts w:cs="宋体"/>
                <w:color w:val="auto"/>
              </w:rPr>
              <w:t xml:space="preserve"> </w:t>
            </w:r>
            <w:r>
              <w:rPr>
                <w:rFonts w:hint="eastAsia" w:cs="宋体"/>
                <w:color w:val="auto"/>
                <w:lang w:val="en-US" w:eastAsia="zh-CN"/>
              </w:rPr>
              <w:t>1</w:t>
            </w:r>
            <w:r>
              <w:rPr>
                <w:rFonts w:hint="eastAsia" w:cs="宋体"/>
                <w:color w:val="auto"/>
              </w:rPr>
              <w:t>分</w:t>
            </w:r>
          </w:p>
        </w:tc>
        <w:tc>
          <w:tcPr>
            <w:tcW w:w="11015" w:type="dxa"/>
            <w:noWrap w:val="0"/>
            <w:vAlign w:val="center"/>
          </w:tcPr>
          <w:p w14:paraId="1FA80A57">
            <w:pPr>
              <w:spacing w:line="300" w:lineRule="exact"/>
              <w:rPr>
                <w:rFonts w:cs="宋体"/>
                <w:color w:val="auto"/>
                <w:shd w:val="clear" w:color="auto" w:fill="FFFFFF"/>
              </w:rPr>
            </w:pPr>
            <w:r>
              <w:rPr>
                <w:rFonts w:hint="eastAsia" w:cs="宋体"/>
                <w:color w:val="auto"/>
                <w:shd w:val="clear" w:color="auto" w:fill="FFFFFF"/>
              </w:rPr>
              <w:t>依据各</w:t>
            </w:r>
            <w:r>
              <w:rPr>
                <w:rFonts w:hint="eastAsia" w:cs="宋体"/>
                <w:color w:val="auto"/>
                <w:shd w:val="clear" w:color="auto" w:fill="FFFFFF"/>
                <w:lang w:eastAsia="zh-CN"/>
              </w:rPr>
              <w:t>参选</w:t>
            </w:r>
            <w:r>
              <w:rPr>
                <w:rFonts w:hint="eastAsia" w:cs="宋体"/>
                <w:color w:val="auto"/>
                <w:shd w:val="clear" w:color="auto" w:fill="FFFFFF"/>
              </w:rPr>
              <w:t>人所提供的</w:t>
            </w:r>
            <w:r>
              <w:rPr>
                <w:rFonts w:hint="eastAsia" w:cs="宋体"/>
                <w:color w:val="auto"/>
                <w:shd w:val="clear" w:color="auto" w:fill="FFFFFF"/>
                <w:lang w:eastAsia="zh-CN"/>
              </w:rPr>
              <w:t>比选</w:t>
            </w:r>
            <w:r>
              <w:rPr>
                <w:rFonts w:hint="eastAsia" w:cs="宋体"/>
                <w:color w:val="auto"/>
                <w:shd w:val="clear" w:color="auto" w:fill="FFFFFF"/>
              </w:rPr>
              <w:t>文件及相关资料详细、完整等情况进行对比打分。</w:t>
            </w:r>
          </w:p>
          <w:p w14:paraId="0F916374">
            <w:pPr>
              <w:spacing w:line="300" w:lineRule="exact"/>
              <w:rPr>
                <w:rFonts w:cs="宋体"/>
                <w:color w:val="auto"/>
                <w:lang w:val="zh-CN"/>
              </w:rPr>
            </w:pPr>
            <w:r>
              <w:rPr>
                <w:color w:val="auto"/>
              </w:rPr>
              <w:t>1.</w:t>
            </w:r>
            <w:r>
              <w:rPr>
                <w:rFonts w:hint="eastAsia" w:cs="宋体"/>
                <w:color w:val="auto"/>
                <w:lang w:eastAsia="zh-CN"/>
              </w:rPr>
              <w:t>比选</w:t>
            </w:r>
            <w:r>
              <w:rPr>
                <w:rFonts w:hint="eastAsia" w:cs="宋体"/>
                <w:color w:val="auto"/>
                <w:lang w:val="zh-CN"/>
              </w:rPr>
              <w:t>文件的完整性、规范性全部符合以下要求的</w:t>
            </w:r>
            <w:r>
              <w:rPr>
                <w:rFonts w:cs="宋体"/>
                <w:color w:val="auto"/>
                <w:lang w:val="zh-CN"/>
              </w:rPr>
              <w:t>1</w:t>
            </w:r>
            <w:r>
              <w:rPr>
                <w:rFonts w:hint="eastAsia" w:cs="宋体"/>
                <w:color w:val="auto"/>
                <w:lang w:val="zh-CN"/>
              </w:rPr>
              <w:t>分，每有一项不符扣</w:t>
            </w:r>
            <w:r>
              <w:rPr>
                <w:rFonts w:cs="宋体"/>
                <w:color w:val="auto"/>
                <w:lang w:val="zh-CN"/>
              </w:rPr>
              <w:t>0.2</w:t>
            </w:r>
            <w:r>
              <w:rPr>
                <w:rFonts w:hint="eastAsia" w:cs="宋体"/>
                <w:color w:val="auto"/>
                <w:lang w:val="zh-CN"/>
              </w:rPr>
              <w:t>分，此项最低分</w:t>
            </w:r>
            <w:r>
              <w:rPr>
                <w:rFonts w:cs="宋体"/>
                <w:color w:val="auto"/>
                <w:lang w:val="zh-CN"/>
              </w:rPr>
              <w:t>0</w:t>
            </w:r>
            <w:r>
              <w:rPr>
                <w:rFonts w:hint="eastAsia" w:cs="宋体"/>
                <w:color w:val="auto"/>
                <w:lang w:val="zh-CN"/>
              </w:rPr>
              <w:t>分。</w:t>
            </w:r>
          </w:p>
          <w:p w14:paraId="452E8B27">
            <w:pPr>
              <w:spacing w:line="300" w:lineRule="exact"/>
              <w:rPr>
                <w:rFonts w:cs="宋体"/>
                <w:color w:val="auto"/>
              </w:rPr>
            </w:pPr>
            <w:r>
              <w:rPr>
                <w:rFonts w:hint="eastAsia" w:cs="宋体"/>
                <w:color w:val="auto"/>
                <w:lang w:val="zh-CN"/>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3DAAC597">
            <w:pPr>
              <w:spacing w:line="30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exact"/>
        </w:trPr>
        <w:tc>
          <w:tcPr>
            <w:tcW w:w="738" w:type="dxa"/>
            <w:noWrap w:val="0"/>
            <w:vAlign w:val="center"/>
          </w:tcPr>
          <w:p w14:paraId="32182D57">
            <w:pPr>
              <w:pStyle w:val="2"/>
              <w:spacing w:line="300" w:lineRule="exact"/>
              <w:ind w:firstLine="207" w:firstLineChars="98"/>
              <w:rPr>
                <w:b/>
                <w:bCs/>
                <w:color w:val="auto"/>
                <w:lang w:val="en-US" w:eastAsia="zh-CN"/>
              </w:rPr>
            </w:pPr>
            <w:r>
              <w:rPr>
                <w:b/>
                <w:bCs/>
                <w:color w:val="auto"/>
                <w:lang w:val="en-US" w:eastAsia="zh-CN"/>
              </w:rPr>
              <w:t>4</w:t>
            </w:r>
          </w:p>
        </w:tc>
        <w:tc>
          <w:tcPr>
            <w:tcW w:w="1511" w:type="dxa"/>
            <w:noWrap w:val="0"/>
            <w:vAlign w:val="top"/>
          </w:tcPr>
          <w:p w14:paraId="3FD6A641">
            <w:pPr>
              <w:pStyle w:val="2"/>
              <w:spacing w:line="300" w:lineRule="exact"/>
              <w:jc w:val="center"/>
              <w:rPr>
                <w:b/>
                <w:bCs/>
                <w:color w:val="auto"/>
                <w:lang w:val="en-US" w:eastAsia="zh-CN"/>
              </w:rPr>
            </w:pPr>
          </w:p>
          <w:p w14:paraId="62815727">
            <w:pPr>
              <w:pStyle w:val="2"/>
              <w:spacing w:line="300" w:lineRule="exact"/>
              <w:jc w:val="center"/>
              <w:rPr>
                <w:rFonts w:hint="eastAsia"/>
                <w:b/>
                <w:bCs/>
                <w:color w:val="auto"/>
                <w:lang w:val="en-US" w:eastAsia="zh-CN"/>
              </w:rPr>
            </w:pPr>
            <w:r>
              <w:rPr>
                <w:rFonts w:hint="eastAsia"/>
                <w:b/>
                <w:bCs/>
                <w:color w:val="auto"/>
                <w:lang w:val="en-US" w:eastAsia="zh-CN"/>
              </w:rPr>
              <w:t>消防安全</w:t>
            </w:r>
          </w:p>
          <w:p w14:paraId="275ECCF8">
            <w:pPr>
              <w:pStyle w:val="2"/>
              <w:spacing w:line="300" w:lineRule="exact"/>
              <w:jc w:val="center"/>
              <w:rPr>
                <w:rFonts w:hint="eastAsia"/>
                <w:b/>
                <w:bCs/>
                <w:color w:val="auto"/>
                <w:lang w:val="en-US" w:eastAsia="zh-CN"/>
              </w:rPr>
            </w:pPr>
            <w:r>
              <w:rPr>
                <w:rFonts w:hint="eastAsia"/>
                <w:b/>
                <w:bCs/>
                <w:color w:val="auto"/>
                <w:lang w:val="en-US" w:eastAsia="zh-CN"/>
              </w:rPr>
              <w:t>评估实施</w:t>
            </w:r>
          </w:p>
          <w:p w14:paraId="3B117121">
            <w:pPr>
              <w:pStyle w:val="2"/>
              <w:spacing w:line="300" w:lineRule="exact"/>
              <w:jc w:val="center"/>
              <w:rPr>
                <w:b/>
                <w:bCs/>
                <w:color w:val="auto"/>
                <w:lang w:val="en-US" w:eastAsia="zh-CN"/>
              </w:rPr>
            </w:pPr>
            <w:r>
              <w:rPr>
                <w:rFonts w:hint="eastAsia"/>
                <w:b/>
                <w:bCs/>
                <w:color w:val="auto"/>
                <w:lang w:val="en-US" w:eastAsia="zh-CN"/>
              </w:rPr>
              <w:t>方案</w:t>
            </w:r>
          </w:p>
        </w:tc>
        <w:tc>
          <w:tcPr>
            <w:tcW w:w="750" w:type="dxa"/>
            <w:noWrap w:val="0"/>
            <w:vAlign w:val="center"/>
          </w:tcPr>
          <w:p w14:paraId="10E13816">
            <w:pPr>
              <w:spacing w:line="300" w:lineRule="exact"/>
              <w:rPr>
                <w:color w:val="auto"/>
              </w:rPr>
            </w:pPr>
            <w:r>
              <w:rPr>
                <w:rFonts w:hint="eastAsia"/>
                <w:color w:val="auto"/>
                <w:lang w:val="en-US" w:eastAsia="zh-CN"/>
              </w:rPr>
              <w:t>20</w:t>
            </w:r>
            <w:r>
              <w:rPr>
                <w:rFonts w:hint="eastAsia"/>
                <w:color w:val="auto"/>
              </w:rPr>
              <w:t>分</w:t>
            </w:r>
          </w:p>
        </w:tc>
        <w:tc>
          <w:tcPr>
            <w:tcW w:w="11015" w:type="dxa"/>
            <w:noWrap w:val="0"/>
            <w:vAlign w:val="center"/>
          </w:tcPr>
          <w:p w14:paraId="6DF83B0A">
            <w:pPr>
              <w:spacing w:line="300" w:lineRule="exact"/>
              <w:rPr>
                <w:rFonts w:hint="eastAsia"/>
                <w:color w:val="auto"/>
                <w:shd w:val="clear" w:color="auto" w:fill="FFFFFF"/>
              </w:rPr>
            </w:pPr>
            <w:r>
              <w:rPr>
                <w:rFonts w:hint="eastAsia"/>
                <w:color w:val="auto"/>
                <w:shd w:val="clear" w:color="auto" w:fill="FFFFFF"/>
              </w:rPr>
              <w:t>服务方案包括但不限于总体服务方案、评估、检测方案、质量与安全保障措施、进度安排及进度保障措施、工作方法及技术标准、应急突发方案等。</w:t>
            </w:r>
            <w:r>
              <w:rPr>
                <w:rFonts w:hint="eastAsia"/>
                <w:color w:val="auto"/>
                <w:shd w:val="clear" w:color="auto" w:fill="FFFFFF"/>
                <w:lang w:eastAsia="zh-CN"/>
              </w:rPr>
              <w:t>评选小组</w:t>
            </w:r>
            <w:r>
              <w:rPr>
                <w:rFonts w:hint="eastAsia"/>
                <w:color w:val="auto"/>
                <w:shd w:val="clear" w:color="auto" w:fill="FFFFFF"/>
              </w:rPr>
              <w:t>根据</w:t>
            </w:r>
            <w:r>
              <w:rPr>
                <w:rFonts w:hint="eastAsia"/>
                <w:color w:val="auto"/>
                <w:shd w:val="clear" w:color="auto" w:fill="FFFFFF"/>
                <w:lang w:eastAsia="zh-CN"/>
              </w:rPr>
              <w:t>参选人</w:t>
            </w:r>
            <w:r>
              <w:rPr>
                <w:rFonts w:hint="eastAsia"/>
                <w:color w:val="auto"/>
                <w:shd w:val="clear" w:color="auto" w:fill="FFFFFF"/>
              </w:rPr>
              <w:t>提供的整体服务方案进行横向对比综合打分。</w:t>
            </w:r>
          </w:p>
          <w:p w14:paraId="54BFE97C">
            <w:pPr>
              <w:spacing w:line="300" w:lineRule="exact"/>
              <w:rPr>
                <w:rFonts w:hint="eastAsia"/>
                <w:color w:val="auto"/>
                <w:shd w:val="clear" w:color="auto" w:fill="FFFFFF"/>
              </w:rPr>
            </w:pPr>
            <w:r>
              <w:rPr>
                <w:rFonts w:hint="eastAsia"/>
                <w:color w:val="auto"/>
                <w:shd w:val="clear" w:color="auto" w:fill="FFFFFF"/>
              </w:rPr>
              <w:t xml:space="preserve">1.服务方案完整，评估、检测方案较详细、可行、经济、合理，质量及安全保障措施较到位，进度安排及进度保障措施较完善，工作方法及技术标准较合理可行，能够完全满足本项目需求的得 </w:t>
            </w:r>
            <w:r>
              <w:rPr>
                <w:rFonts w:hint="eastAsia"/>
                <w:color w:val="auto"/>
                <w:shd w:val="clear" w:color="auto" w:fill="FFFFFF"/>
                <w:lang w:val="en-US" w:eastAsia="zh-CN"/>
              </w:rPr>
              <w:t>20-30</w:t>
            </w:r>
            <w:r>
              <w:rPr>
                <w:rFonts w:hint="eastAsia"/>
                <w:color w:val="auto"/>
                <w:shd w:val="clear" w:color="auto" w:fill="FFFFFF"/>
              </w:rPr>
              <w:t>分;</w:t>
            </w:r>
          </w:p>
          <w:p w14:paraId="52DD11A9">
            <w:pPr>
              <w:spacing w:line="300" w:lineRule="exact"/>
              <w:rPr>
                <w:rFonts w:hint="eastAsia"/>
                <w:color w:val="auto"/>
                <w:shd w:val="clear" w:color="auto" w:fill="FFFFFF"/>
              </w:rPr>
            </w:pPr>
            <w:r>
              <w:rPr>
                <w:rFonts w:hint="eastAsia"/>
                <w:color w:val="auto"/>
                <w:shd w:val="clear" w:color="auto" w:fill="FFFFFF"/>
              </w:rPr>
              <w:t xml:space="preserve">2.服务方案完整，评估、检测方案详细、可行、经济、合理，质量及安全保障措施好,进度安排及进度保障措施完善，工作方法及技术标准合理可行，能够基本满足本项目需求的得 </w:t>
            </w:r>
            <w:r>
              <w:rPr>
                <w:rFonts w:hint="eastAsia"/>
                <w:color w:val="auto"/>
                <w:shd w:val="clear" w:color="auto" w:fill="FFFFFF"/>
                <w:lang w:val="en-US" w:eastAsia="zh-CN"/>
              </w:rPr>
              <w:t>10-20</w:t>
            </w:r>
            <w:r>
              <w:rPr>
                <w:rFonts w:hint="eastAsia"/>
                <w:color w:val="auto"/>
                <w:shd w:val="clear" w:color="auto" w:fill="FFFFFF"/>
              </w:rPr>
              <w:t xml:space="preserve"> 分:</w:t>
            </w:r>
          </w:p>
          <w:p w14:paraId="2F68ECB0">
            <w:pPr>
              <w:spacing w:line="300" w:lineRule="exact"/>
              <w:rPr>
                <w:rFonts w:hint="eastAsia" w:eastAsiaTheme="minorEastAsia"/>
                <w:color w:val="auto"/>
                <w:lang w:eastAsia="zh-CN"/>
              </w:rPr>
            </w:pPr>
            <w:r>
              <w:rPr>
                <w:rFonts w:hint="eastAsia"/>
                <w:color w:val="auto"/>
                <w:shd w:val="clear" w:color="auto" w:fill="FFFFFF"/>
              </w:rPr>
              <w:t xml:space="preserve">3.服务方案不完整，评估、检测方案不合理，质量及安全保障措施可行性差，进度安排及进度保障措施不完善，工作方法及技术标准较为不合理，不能满足本项目需求的得 </w:t>
            </w:r>
            <w:r>
              <w:rPr>
                <w:rFonts w:hint="eastAsia"/>
                <w:color w:val="auto"/>
                <w:shd w:val="clear" w:color="auto" w:fill="FFFFFF"/>
                <w:lang w:val="en-US" w:eastAsia="zh-CN"/>
              </w:rPr>
              <w:t>0</w:t>
            </w:r>
            <w:r>
              <w:rPr>
                <w:rFonts w:hint="eastAsia"/>
                <w:color w:val="auto"/>
                <w:shd w:val="clear" w:color="auto" w:fill="FFFFFF"/>
              </w:rPr>
              <w:t>分。注:不提供不得分。</w:t>
            </w:r>
          </w:p>
        </w:tc>
        <w:tc>
          <w:tcPr>
            <w:tcW w:w="997" w:type="dxa"/>
            <w:noWrap w:val="0"/>
            <w:vAlign w:val="center"/>
          </w:tcPr>
          <w:p w14:paraId="29600913">
            <w:pPr>
              <w:spacing w:line="300" w:lineRule="exact"/>
              <w:rPr>
                <w:rFonts w:cs="宋体"/>
                <w:bCs/>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738" w:type="dxa"/>
            <w:noWrap w:val="0"/>
            <w:vAlign w:val="center"/>
          </w:tcPr>
          <w:p w14:paraId="412893E7">
            <w:pPr>
              <w:pStyle w:val="2"/>
              <w:spacing w:line="300" w:lineRule="exact"/>
              <w:ind w:firstLine="207" w:firstLineChars="98"/>
              <w:rPr>
                <w:b/>
                <w:bCs/>
                <w:color w:val="auto"/>
                <w:lang w:val="en-US" w:eastAsia="zh-CN"/>
              </w:rPr>
            </w:pPr>
            <w:r>
              <w:rPr>
                <w:b/>
                <w:bCs/>
                <w:color w:val="auto"/>
                <w:lang w:val="en-US" w:eastAsia="zh-CN"/>
              </w:rPr>
              <w:t>5</w:t>
            </w:r>
          </w:p>
        </w:tc>
        <w:tc>
          <w:tcPr>
            <w:tcW w:w="1511" w:type="dxa"/>
            <w:noWrap w:val="0"/>
            <w:vAlign w:val="center"/>
          </w:tcPr>
          <w:p w14:paraId="52DD1D77">
            <w:pPr>
              <w:pStyle w:val="2"/>
              <w:spacing w:line="300" w:lineRule="exact"/>
              <w:jc w:val="center"/>
              <w:rPr>
                <w:b/>
                <w:bCs/>
                <w:color w:val="auto"/>
                <w:lang w:val="en-US" w:eastAsia="zh-CN"/>
              </w:rPr>
            </w:pPr>
            <w:r>
              <w:rPr>
                <w:rFonts w:hint="eastAsia"/>
                <w:b/>
                <w:bCs/>
                <w:color w:val="auto"/>
                <w:lang w:val="en-US" w:eastAsia="zh-CN"/>
              </w:rPr>
              <w:t>企业综合实力</w:t>
            </w:r>
          </w:p>
        </w:tc>
        <w:tc>
          <w:tcPr>
            <w:tcW w:w="750" w:type="dxa"/>
            <w:noWrap w:val="0"/>
            <w:vAlign w:val="center"/>
          </w:tcPr>
          <w:p w14:paraId="13E865E1">
            <w:pPr>
              <w:spacing w:line="300" w:lineRule="exact"/>
              <w:ind w:firstLine="105" w:firstLineChars="50"/>
              <w:rPr>
                <w:color w:val="auto"/>
              </w:rPr>
            </w:pPr>
            <w:r>
              <w:rPr>
                <w:rFonts w:hint="eastAsia"/>
                <w:color w:val="auto"/>
                <w:lang w:val="en-US" w:eastAsia="zh-CN"/>
              </w:rPr>
              <w:t>3</w:t>
            </w:r>
            <w:r>
              <w:rPr>
                <w:rFonts w:hint="eastAsia"/>
                <w:color w:val="auto"/>
              </w:rPr>
              <w:t>分</w:t>
            </w:r>
          </w:p>
        </w:tc>
        <w:tc>
          <w:tcPr>
            <w:tcW w:w="11015" w:type="dxa"/>
            <w:noWrap w:val="0"/>
            <w:vAlign w:val="center"/>
          </w:tcPr>
          <w:p w14:paraId="5C4E4561">
            <w:pPr>
              <w:spacing w:line="300" w:lineRule="exact"/>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bCs/>
                <w:color w:val="auto"/>
              </w:rPr>
              <w:t>人业绩情况对比</w:t>
            </w:r>
            <w:r>
              <w:rPr>
                <w:rFonts w:hint="eastAsia"/>
                <w:color w:val="auto"/>
                <w:shd w:val="clear" w:color="auto" w:fill="FFFFFF"/>
              </w:rPr>
              <w:t>进行评审。</w:t>
            </w:r>
          </w:p>
          <w:p w14:paraId="2EE54675">
            <w:pPr>
              <w:spacing w:line="300" w:lineRule="exact"/>
              <w:rPr>
                <w:color w:val="auto"/>
              </w:rPr>
            </w:pPr>
            <w:r>
              <w:rPr>
                <w:rFonts w:hint="eastAsia" w:cs="宋体"/>
                <w:color w:val="auto"/>
                <w:lang w:val="en-US" w:eastAsia="zh-CN"/>
              </w:rPr>
              <w:t>1</w:t>
            </w:r>
            <w:r>
              <w:rPr>
                <w:rFonts w:cs="宋体"/>
                <w:color w:val="auto"/>
              </w:rPr>
              <w:t>.</w:t>
            </w:r>
            <w:r>
              <w:rPr>
                <w:rFonts w:hint="eastAsia"/>
                <w:color w:val="auto"/>
              </w:rPr>
              <w:t>根据近三年内</w:t>
            </w:r>
            <w:r>
              <w:rPr>
                <w:rFonts w:hint="eastAsia"/>
                <w:color w:val="auto"/>
                <w:lang w:eastAsia="zh-CN"/>
              </w:rPr>
              <w:t>参选企业</w:t>
            </w:r>
            <w:r>
              <w:rPr>
                <w:rFonts w:hint="eastAsia"/>
                <w:color w:val="auto"/>
              </w:rPr>
              <w:t>的中标通知书及购销合同进行打分</w:t>
            </w:r>
            <w:r>
              <w:rPr>
                <w:color w:val="auto"/>
              </w:rPr>
              <w:t>,</w:t>
            </w:r>
            <w:r>
              <w:rPr>
                <w:rFonts w:hint="eastAsia"/>
                <w:color w:val="auto"/>
              </w:rPr>
              <w:t>每提供</w:t>
            </w:r>
            <w:r>
              <w:rPr>
                <w:color w:val="auto"/>
              </w:rPr>
              <w:t>1</w:t>
            </w:r>
            <w:r>
              <w:rPr>
                <w:rFonts w:hint="eastAsia"/>
                <w:color w:val="auto"/>
              </w:rPr>
              <w:t>份中标通知书</w:t>
            </w:r>
            <w:r>
              <w:rPr>
                <w:rFonts w:hint="eastAsia"/>
                <w:color w:val="auto"/>
                <w:lang w:eastAsia="zh-CN"/>
              </w:rPr>
              <w:t>或</w:t>
            </w:r>
            <w:r>
              <w:rPr>
                <w:rFonts w:hint="eastAsia"/>
                <w:color w:val="auto"/>
              </w:rPr>
              <w:t>购销合同得</w:t>
            </w:r>
            <w:r>
              <w:rPr>
                <w:color w:val="auto"/>
              </w:rPr>
              <w:t>1</w:t>
            </w:r>
            <w:r>
              <w:rPr>
                <w:rFonts w:hint="eastAsia"/>
                <w:color w:val="auto"/>
              </w:rPr>
              <w:t>分，最高得</w:t>
            </w:r>
            <w:r>
              <w:rPr>
                <w:color w:val="auto"/>
              </w:rPr>
              <w:t>3</w:t>
            </w:r>
            <w:r>
              <w:rPr>
                <w:rFonts w:hint="eastAsia"/>
                <w:color w:val="auto"/>
              </w:rPr>
              <w:t>分。</w:t>
            </w:r>
            <w:r>
              <w:rPr>
                <w:rFonts w:hint="eastAsia" w:cs="宋体"/>
                <w:color w:val="auto"/>
              </w:rPr>
              <w:t>不提供不得分</w:t>
            </w:r>
            <w:r>
              <w:rPr>
                <w:rFonts w:hint="eastAsia"/>
                <w:color w:val="auto"/>
              </w:rPr>
              <w:t>（</w:t>
            </w:r>
            <w:r>
              <w:rPr>
                <w:rFonts w:hint="eastAsia"/>
                <w:bCs/>
                <w:color w:val="auto"/>
              </w:rPr>
              <w:t>提供中标通知书及合同复印件，加盖</w:t>
            </w:r>
            <w:r>
              <w:rPr>
                <w:rFonts w:hint="eastAsia"/>
                <w:bCs/>
                <w:color w:val="auto"/>
                <w:lang w:eastAsia="zh-CN"/>
              </w:rPr>
              <w:t>参选</w:t>
            </w:r>
            <w:r>
              <w:rPr>
                <w:rFonts w:hint="eastAsia"/>
                <w:bCs/>
                <w:color w:val="auto"/>
              </w:rPr>
              <w:t>单位公章，</w:t>
            </w:r>
            <w:r>
              <w:rPr>
                <w:rFonts w:hint="eastAsia"/>
                <w:color w:val="auto"/>
              </w:rPr>
              <w:t>原件备查</w:t>
            </w:r>
            <w:r>
              <w:rPr>
                <w:rFonts w:hint="eastAsia" w:cs="宋体"/>
                <w:color w:val="auto"/>
                <w:lang w:val="zh-CN"/>
              </w:rPr>
              <w:t>）。</w:t>
            </w:r>
          </w:p>
        </w:tc>
        <w:tc>
          <w:tcPr>
            <w:tcW w:w="997" w:type="dxa"/>
            <w:noWrap w:val="0"/>
            <w:vAlign w:val="center"/>
          </w:tcPr>
          <w:p w14:paraId="1D2F435A">
            <w:pPr>
              <w:spacing w:line="300" w:lineRule="exact"/>
              <w:rPr>
                <w:rFonts w:hint="eastAsia" w:cs="宋体"/>
                <w:lang w:val="en-US" w:eastAsia="zh-CN"/>
              </w:rPr>
            </w:pPr>
          </w:p>
        </w:tc>
      </w:tr>
      <w:tr w14:paraId="333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738" w:type="dxa"/>
            <w:noWrap w:val="0"/>
            <w:vAlign w:val="center"/>
          </w:tcPr>
          <w:p w14:paraId="76F94660">
            <w:pPr>
              <w:pStyle w:val="2"/>
              <w:spacing w:line="300" w:lineRule="exact"/>
              <w:ind w:firstLine="207" w:firstLineChars="98"/>
              <w:rPr>
                <w:b/>
                <w:bCs/>
                <w:color w:val="auto"/>
                <w:lang w:val="en-US" w:eastAsia="zh-CN"/>
              </w:rPr>
            </w:pPr>
            <w:r>
              <w:rPr>
                <w:b/>
                <w:bCs/>
                <w:color w:val="auto"/>
                <w:lang w:val="en-US" w:eastAsia="zh-CN"/>
              </w:rPr>
              <w:t>6</w:t>
            </w:r>
          </w:p>
        </w:tc>
        <w:tc>
          <w:tcPr>
            <w:tcW w:w="1511" w:type="dxa"/>
            <w:noWrap w:val="0"/>
            <w:vAlign w:val="center"/>
          </w:tcPr>
          <w:p w14:paraId="1025AF85">
            <w:pPr>
              <w:pStyle w:val="2"/>
              <w:spacing w:line="300" w:lineRule="exact"/>
              <w:jc w:val="center"/>
              <w:rPr>
                <w:b/>
                <w:bCs/>
                <w:color w:val="auto"/>
                <w:lang w:val="en-US" w:eastAsia="zh-CN"/>
              </w:rPr>
            </w:pPr>
            <w:r>
              <w:rPr>
                <w:rFonts w:hint="eastAsia"/>
                <w:b/>
                <w:bCs/>
                <w:color w:val="auto"/>
                <w:lang w:val="en-US" w:eastAsia="zh-CN"/>
              </w:rPr>
              <w:t>售后服务体系</w:t>
            </w:r>
          </w:p>
        </w:tc>
        <w:tc>
          <w:tcPr>
            <w:tcW w:w="750" w:type="dxa"/>
            <w:noWrap w:val="0"/>
            <w:vAlign w:val="center"/>
          </w:tcPr>
          <w:p w14:paraId="47F56CF7">
            <w:pPr>
              <w:spacing w:line="300" w:lineRule="exact"/>
              <w:rPr>
                <w:color w:val="auto"/>
              </w:rPr>
            </w:pPr>
            <w:r>
              <w:rPr>
                <w:color w:val="auto"/>
              </w:rPr>
              <w:t xml:space="preserve"> </w:t>
            </w:r>
            <w:r>
              <w:rPr>
                <w:rFonts w:hint="eastAsia"/>
                <w:color w:val="auto"/>
                <w:lang w:val="en-US" w:eastAsia="zh-CN"/>
              </w:rPr>
              <w:t>1</w:t>
            </w:r>
            <w:r>
              <w:rPr>
                <w:rFonts w:hint="eastAsia"/>
                <w:color w:val="auto"/>
              </w:rPr>
              <w:t>分</w:t>
            </w:r>
          </w:p>
        </w:tc>
        <w:tc>
          <w:tcPr>
            <w:tcW w:w="11015" w:type="dxa"/>
            <w:noWrap w:val="0"/>
            <w:vAlign w:val="center"/>
          </w:tcPr>
          <w:p w14:paraId="2AB229BE">
            <w:pPr>
              <w:spacing w:line="300" w:lineRule="exact"/>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color w:val="auto"/>
                <w:shd w:val="clear" w:color="auto" w:fill="FFFFFF"/>
              </w:rPr>
              <w:t>人</w:t>
            </w:r>
            <w:r>
              <w:rPr>
                <w:rFonts w:hint="eastAsia"/>
                <w:color w:val="auto"/>
                <w:shd w:val="clear" w:color="auto" w:fill="FFFFFF"/>
                <w:lang w:eastAsia="zh-CN"/>
              </w:rPr>
              <w:t>比选</w:t>
            </w:r>
            <w:r>
              <w:rPr>
                <w:rFonts w:hint="eastAsia"/>
                <w:color w:val="auto"/>
                <w:shd w:val="clear" w:color="auto" w:fill="FFFFFF"/>
              </w:rPr>
              <w:t>文件内容进行量化打分</w:t>
            </w:r>
          </w:p>
          <w:p w14:paraId="55896944">
            <w:pPr>
              <w:numPr>
                <w:ilvl w:val="0"/>
                <w:numId w:val="3"/>
              </w:numPr>
              <w:spacing w:line="300" w:lineRule="exact"/>
              <w:ind w:left="0" w:leftChars="0" w:firstLine="0" w:firstLineChars="0"/>
              <w:rPr>
                <w:color w:val="auto"/>
              </w:rPr>
            </w:pPr>
            <w:r>
              <w:rPr>
                <w:rFonts w:hint="eastAsia" w:cs="宋体"/>
                <w:color w:val="auto"/>
              </w:rPr>
              <w:t>响应时效:在接打甲方通知后1小时内响应的，在响应甲方后2小时内解决问题的得1分</w:t>
            </w:r>
          </w:p>
        </w:tc>
        <w:tc>
          <w:tcPr>
            <w:tcW w:w="997" w:type="dxa"/>
            <w:noWrap w:val="0"/>
            <w:vAlign w:val="center"/>
          </w:tcPr>
          <w:p w14:paraId="7C6B3286">
            <w:pPr>
              <w:spacing w:line="300" w:lineRule="exact"/>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exact"/>
        </w:trPr>
        <w:tc>
          <w:tcPr>
            <w:tcW w:w="738" w:type="dxa"/>
            <w:noWrap w:val="0"/>
            <w:vAlign w:val="center"/>
          </w:tcPr>
          <w:p w14:paraId="0E84E6C3">
            <w:pPr>
              <w:pStyle w:val="2"/>
              <w:spacing w:line="300" w:lineRule="exact"/>
              <w:ind w:firstLine="207" w:firstLineChars="98"/>
              <w:rPr>
                <w:b/>
                <w:bCs/>
                <w:color w:val="auto"/>
                <w:lang w:val="en-US" w:eastAsia="zh-CN"/>
              </w:rPr>
            </w:pPr>
            <w:r>
              <w:rPr>
                <w:b/>
                <w:bCs/>
                <w:color w:val="auto"/>
                <w:lang w:val="en-US" w:eastAsia="zh-CN"/>
              </w:rPr>
              <w:t>7</w:t>
            </w:r>
          </w:p>
        </w:tc>
        <w:tc>
          <w:tcPr>
            <w:tcW w:w="1511" w:type="dxa"/>
            <w:noWrap w:val="0"/>
            <w:vAlign w:val="center"/>
          </w:tcPr>
          <w:p w14:paraId="67F8C806">
            <w:pPr>
              <w:pStyle w:val="2"/>
              <w:spacing w:line="300" w:lineRule="exact"/>
              <w:jc w:val="center"/>
              <w:rPr>
                <w:b/>
                <w:bCs/>
                <w:color w:val="auto"/>
                <w:lang w:val="en-US" w:eastAsia="zh-CN"/>
              </w:rPr>
            </w:pPr>
            <w:r>
              <w:rPr>
                <w:rFonts w:hint="eastAsia"/>
                <w:b/>
                <w:bCs/>
                <w:color w:val="auto"/>
                <w:lang w:val="en-US" w:eastAsia="zh-CN"/>
              </w:rPr>
              <w:t>项目团队</w:t>
            </w:r>
          </w:p>
        </w:tc>
        <w:tc>
          <w:tcPr>
            <w:tcW w:w="750" w:type="dxa"/>
            <w:noWrap w:val="0"/>
            <w:vAlign w:val="center"/>
          </w:tcPr>
          <w:p w14:paraId="5908FEB0">
            <w:pPr>
              <w:spacing w:line="300" w:lineRule="exact"/>
              <w:ind w:firstLine="105" w:firstLineChars="50"/>
              <w:rPr>
                <w:rFonts w:hint="default" w:eastAsiaTheme="minorEastAsia"/>
                <w:color w:val="auto"/>
                <w:lang w:val="en-US" w:eastAsia="zh-CN"/>
              </w:rPr>
            </w:pPr>
            <w:r>
              <w:rPr>
                <w:rFonts w:hint="eastAsia"/>
                <w:color w:val="auto"/>
                <w:lang w:val="en-US" w:eastAsia="zh-CN"/>
              </w:rPr>
              <w:t>10</w:t>
            </w:r>
          </w:p>
        </w:tc>
        <w:tc>
          <w:tcPr>
            <w:tcW w:w="11015" w:type="dxa"/>
            <w:noWrap w:val="0"/>
            <w:vAlign w:val="center"/>
          </w:tcPr>
          <w:p w14:paraId="7AFD58EB">
            <w:pPr>
              <w:numPr>
                <w:ilvl w:val="0"/>
                <w:numId w:val="4"/>
              </w:numPr>
              <w:spacing w:line="300" w:lineRule="exact"/>
              <w:rPr>
                <w:rFonts w:hint="eastAsia"/>
                <w:color w:val="auto"/>
              </w:rPr>
            </w:pPr>
            <w:r>
              <w:rPr>
                <w:rFonts w:hint="eastAsia"/>
                <w:color w:val="auto"/>
              </w:rPr>
              <w:t>项目负责人</w:t>
            </w:r>
            <w:r>
              <w:rPr>
                <w:rFonts w:hint="eastAsia"/>
                <w:color w:val="auto"/>
                <w:lang w:eastAsia="zh-CN"/>
              </w:rPr>
              <w:t>（</w:t>
            </w:r>
            <w:r>
              <w:rPr>
                <w:rFonts w:hint="eastAsia"/>
                <w:color w:val="auto"/>
                <w:lang w:val="en-US" w:eastAsia="zh-CN"/>
              </w:rPr>
              <w:t>1人</w:t>
            </w:r>
            <w:r>
              <w:rPr>
                <w:rFonts w:hint="eastAsia"/>
                <w:color w:val="auto"/>
                <w:lang w:eastAsia="zh-CN"/>
              </w:rPr>
              <w:t>）</w:t>
            </w:r>
            <w:r>
              <w:rPr>
                <w:rFonts w:hint="eastAsia"/>
                <w:color w:val="auto"/>
              </w:rPr>
              <w:t>:具有二级注册消防工程师资格得</w:t>
            </w:r>
            <w:r>
              <w:rPr>
                <w:rFonts w:hint="eastAsia"/>
                <w:color w:val="auto"/>
                <w:lang w:val="en-US" w:eastAsia="zh-CN"/>
              </w:rPr>
              <w:t>1</w:t>
            </w:r>
            <w:r>
              <w:rPr>
                <w:rFonts w:hint="eastAsia"/>
                <w:color w:val="auto"/>
              </w:rPr>
              <w:t>分，具有一级注册消防工程师资格得</w:t>
            </w:r>
            <w:r>
              <w:rPr>
                <w:rFonts w:hint="eastAsia"/>
                <w:color w:val="auto"/>
                <w:lang w:val="en-US" w:eastAsia="zh-CN"/>
              </w:rPr>
              <w:t>2</w:t>
            </w:r>
            <w:r>
              <w:rPr>
                <w:rFonts w:hint="eastAsia"/>
                <w:color w:val="auto"/>
              </w:rPr>
              <w:t>分:具有中级职称</w:t>
            </w:r>
            <w:r>
              <w:rPr>
                <w:rFonts w:hint="eastAsia"/>
                <w:color w:val="auto"/>
                <w:lang w:eastAsia="zh-CN"/>
              </w:rPr>
              <w:t>及</w:t>
            </w:r>
            <w:r>
              <w:rPr>
                <w:rFonts w:hint="eastAsia"/>
                <w:color w:val="auto"/>
              </w:rPr>
              <w:t>以上职称的得</w:t>
            </w:r>
            <w:r>
              <w:rPr>
                <w:rFonts w:hint="eastAsia"/>
                <w:color w:val="auto"/>
                <w:lang w:val="en-US" w:eastAsia="zh-CN"/>
              </w:rPr>
              <w:t>3</w:t>
            </w:r>
            <w:r>
              <w:rPr>
                <w:rFonts w:hint="eastAsia"/>
                <w:color w:val="auto"/>
              </w:rPr>
              <w:t>分;本项满分</w:t>
            </w:r>
            <w:r>
              <w:rPr>
                <w:rFonts w:hint="eastAsia"/>
                <w:color w:val="auto"/>
                <w:lang w:val="en-US" w:eastAsia="zh-CN"/>
              </w:rPr>
              <w:t>3</w:t>
            </w:r>
            <w:r>
              <w:rPr>
                <w:rFonts w:hint="eastAsia"/>
                <w:color w:val="auto"/>
              </w:rPr>
              <w:t>分。</w:t>
            </w:r>
            <w:r>
              <w:rPr>
                <w:rFonts w:hint="eastAsia"/>
                <w:color w:val="auto"/>
                <w:lang w:eastAsia="zh-CN"/>
              </w:rPr>
              <w:t>（</w:t>
            </w:r>
            <w:r>
              <w:rPr>
                <w:rFonts w:hint="eastAsia"/>
                <w:color w:val="auto"/>
              </w:rPr>
              <w:t>供应商须提供人员相关证书、身份证及为其缴纳的2024年任意1个月社保证明并加盖供应商电子公章作为证明材料，未提供或提供不全不得分</w:t>
            </w:r>
            <w:r>
              <w:rPr>
                <w:rFonts w:hint="eastAsia"/>
                <w:color w:val="auto"/>
                <w:lang w:eastAsia="zh-CN"/>
              </w:rPr>
              <w:t>）</w:t>
            </w:r>
          </w:p>
          <w:p w14:paraId="670ED3B7">
            <w:pPr>
              <w:numPr>
                <w:ilvl w:val="0"/>
                <w:numId w:val="4"/>
              </w:numPr>
              <w:spacing w:line="300" w:lineRule="exact"/>
              <w:rPr>
                <w:color w:val="auto"/>
              </w:rPr>
            </w:pPr>
            <w:r>
              <w:rPr>
                <w:rFonts w:hint="eastAsia"/>
                <w:color w:val="auto"/>
              </w:rPr>
              <w:t>技术负责人</w:t>
            </w:r>
            <w:r>
              <w:rPr>
                <w:rFonts w:hint="eastAsia"/>
                <w:color w:val="auto"/>
                <w:lang w:eastAsia="zh-CN"/>
              </w:rPr>
              <w:t>（</w:t>
            </w:r>
            <w:r>
              <w:rPr>
                <w:rFonts w:hint="eastAsia"/>
                <w:color w:val="auto"/>
                <w:lang w:val="en-US" w:eastAsia="zh-CN"/>
              </w:rPr>
              <w:t>1人</w:t>
            </w:r>
            <w:r>
              <w:rPr>
                <w:rFonts w:hint="eastAsia"/>
                <w:color w:val="auto"/>
                <w:lang w:eastAsia="zh-CN"/>
              </w:rPr>
              <w:t>）</w:t>
            </w:r>
            <w:r>
              <w:rPr>
                <w:rFonts w:hint="eastAsia"/>
                <w:color w:val="auto"/>
              </w:rPr>
              <w:t>:具有二级注册消防工程师资格得</w:t>
            </w:r>
            <w:r>
              <w:rPr>
                <w:rFonts w:hint="eastAsia"/>
                <w:color w:val="auto"/>
                <w:lang w:val="en-US" w:eastAsia="zh-CN"/>
              </w:rPr>
              <w:t>1</w:t>
            </w:r>
            <w:r>
              <w:rPr>
                <w:rFonts w:hint="eastAsia"/>
                <w:color w:val="auto"/>
              </w:rPr>
              <w:t>分，具有一级注册消防工程师资格得</w:t>
            </w:r>
            <w:r>
              <w:rPr>
                <w:rFonts w:hint="eastAsia"/>
                <w:color w:val="auto"/>
                <w:lang w:val="en-US" w:eastAsia="zh-CN"/>
              </w:rPr>
              <w:t>2</w:t>
            </w:r>
            <w:r>
              <w:rPr>
                <w:rFonts w:hint="eastAsia"/>
                <w:color w:val="auto"/>
              </w:rPr>
              <w:t>分:具有中级职称及以上职称的得</w:t>
            </w:r>
            <w:r>
              <w:rPr>
                <w:rFonts w:hint="eastAsia"/>
                <w:color w:val="auto"/>
                <w:lang w:val="en-US" w:eastAsia="zh-CN"/>
              </w:rPr>
              <w:t>3</w:t>
            </w:r>
            <w:r>
              <w:rPr>
                <w:rFonts w:hint="eastAsia"/>
                <w:color w:val="auto"/>
              </w:rPr>
              <w:t>分;本项满分</w:t>
            </w:r>
            <w:r>
              <w:rPr>
                <w:rFonts w:hint="eastAsia"/>
                <w:color w:val="auto"/>
                <w:lang w:val="en-US" w:eastAsia="zh-CN"/>
              </w:rPr>
              <w:t>3</w:t>
            </w:r>
            <w:r>
              <w:rPr>
                <w:rFonts w:hint="eastAsia"/>
                <w:color w:val="auto"/>
              </w:rPr>
              <w:t>分。一级注册消防工程师与二级注册消防工程师得分不叠加，中级职称与高级及以上职称得分不叠加。</w:t>
            </w:r>
            <w:r>
              <w:rPr>
                <w:rFonts w:hint="eastAsia"/>
                <w:color w:val="auto"/>
                <w:lang w:eastAsia="zh-CN"/>
              </w:rPr>
              <w:t>（</w:t>
            </w:r>
            <w:r>
              <w:rPr>
                <w:rFonts w:hint="eastAsia"/>
                <w:color w:val="auto"/>
              </w:rPr>
              <w:t>供应商须提供人员相关证书、身份证及为其缴纳的2024年任意1个月社保证明并加盖供应商电子公章作为证明材料，未提供或提供不全不得分</w:t>
            </w:r>
            <w:r>
              <w:rPr>
                <w:rFonts w:hint="eastAsia"/>
                <w:color w:val="auto"/>
                <w:lang w:eastAsia="zh-CN"/>
              </w:rPr>
              <w:t>）</w:t>
            </w:r>
          </w:p>
          <w:p w14:paraId="39BA965D">
            <w:pPr>
              <w:numPr>
                <w:ilvl w:val="0"/>
                <w:numId w:val="4"/>
              </w:numPr>
              <w:spacing w:line="300" w:lineRule="exact"/>
              <w:rPr>
                <w:color w:val="auto"/>
              </w:rPr>
            </w:pPr>
            <w:r>
              <w:rPr>
                <w:rFonts w:hint="eastAsia"/>
                <w:color w:val="auto"/>
              </w:rPr>
              <w:t>项目组成员</w:t>
            </w:r>
            <w:r>
              <w:rPr>
                <w:rFonts w:hint="eastAsia"/>
                <w:color w:val="auto"/>
                <w:lang w:eastAsia="zh-CN"/>
              </w:rPr>
              <w:t>（</w:t>
            </w:r>
            <w:r>
              <w:rPr>
                <w:rFonts w:hint="eastAsia"/>
                <w:color w:val="auto"/>
              </w:rPr>
              <w:t>除项目负责人、技术负责人外</w:t>
            </w:r>
            <w:r>
              <w:rPr>
                <w:rFonts w:hint="eastAsia"/>
                <w:color w:val="auto"/>
                <w:lang w:eastAsia="zh-CN"/>
              </w:rPr>
              <w:t>）</w:t>
            </w:r>
            <w:r>
              <w:rPr>
                <w:rFonts w:hint="eastAsia"/>
                <w:color w:val="auto"/>
              </w:rPr>
              <w:t>:具有二级及以上注册消防工程师资格或中级及以上消防设施操作员</w:t>
            </w:r>
            <w:r>
              <w:rPr>
                <w:rFonts w:hint="eastAsia"/>
                <w:color w:val="auto"/>
                <w:lang w:eastAsia="zh-CN"/>
              </w:rPr>
              <w:t>（</w:t>
            </w:r>
            <w:r>
              <w:rPr>
                <w:rFonts w:hint="eastAsia"/>
                <w:color w:val="auto"/>
              </w:rPr>
              <w:t>或建</w:t>
            </w:r>
            <w:r>
              <w:rPr>
                <w:rFonts w:hint="eastAsia"/>
                <w:color w:val="auto"/>
                <w:lang w:eastAsia="zh-CN"/>
              </w:rPr>
              <w:t>（</w:t>
            </w:r>
            <w:r>
              <w:rPr>
                <w:rFonts w:hint="eastAsia"/>
                <w:color w:val="auto"/>
              </w:rPr>
              <w:t>构</w:t>
            </w:r>
            <w:r>
              <w:rPr>
                <w:rFonts w:hint="eastAsia"/>
                <w:color w:val="auto"/>
                <w:lang w:eastAsia="zh-CN"/>
              </w:rPr>
              <w:t>）</w:t>
            </w:r>
            <w:r>
              <w:rPr>
                <w:rFonts w:hint="eastAsia"/>
                <w:color w:val="auto"/>
              </w:rPr>
              <w:t>筑物消防员</w:t>
            </w:r>
            <w:r>
              <w:rPr>
                <w:rFonts w:hint="eastAsia"/>
                <w:color w:val="auto"/>
                <w:lang w:eastAsia="zh-CN"/>
              </w:rPr>
              <w:t>）</w:t>
            </w:r>
            <w:r>
              <w:rPr>
                <w:rFonts w:hint="eastAsia"/>
                <w:color w:val="auto"/>
              </w:rPr>
              <w:t>资格每配备一名得1分，最多得</w:t>
            </w:r>
            <w:r>
              <w:rPr>
                <w:rFonts w:hint="eastAsia"/>
                <w:color w:val="auto"/>
                <w:lang w:val="en-US" w:eastAsia="zh-CN"/>
              </w:rPr>
              <w:t>4</w:t>
            </w:r>
            <w:r>
              <w:rPr>
                <w:rFonts w:hint="eastAsia"/>
                <w:color w:val="auto"/>
              </w:rPr>
              <w:t>分。</w:t>
            </w:r>
            <w:r>
              <w:rPr>
                <w:rFonts w:hint="eastAsia"/>
                <w:color w:val="auto"/>
                <w:lang w:eastAsia="zh-CN"/>
              </w:rPr>
              <w:t>（</w:t>
            </w:r>
            <w:r>
              <w:rPr>
                <w:rFonts w:hint="eastAsia"/>
                <w:color w:val="auto"/>
              </w:rPr>
              <w:t>供应商须提供人员相关证书、身份证及为其缴纳的 2024年任意1个月社保证明并加盖供应商电子公章作为证明材料，未提供或提供不全不得分</w:t>
            </w:r>
            <w:r>
              <w:rPr>
                <w:rFonts w:hint="eastAsia"/>
                <w:color w:val="auto"/>
                <w:lang w:eastAsia="zh-CN"/>
              </w:rPr>
              <w:t>）</w:t>
            </w:r>
          </w:p>
        </w:tc>
        <w:tc>
          <w:tcPr>
            <w:tcW w:w="997" w:type="dxa"/>
            <w:noWrap w:val="0"/>
            <w:vAlign w:val="center"/>
          </w:tcPr>
          <w:p w14:paraId="1A172549">
            <w:pPr>
              <w:spacing w:line="300" w:lineRule="exact"/>
              <w:rPr>
                <w:rFonts w:cs="宋体"/>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63962A16">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致普定县妇幼保健院：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致普定县妇幼保健院：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7"/>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A6D75C-F777-43F3-8290-C430A8DF9CB8}"/>
  </w:font>
  <w:font w:name="Courier New">
    <w:panose1 w:val="02070309020205020404"/>
    <w:charset w:val="01"/>
    <w:family w:val="modern"/>
    <w:pitch w:val="default"/>
    <w:sig w:usb0="E0002AFF" w:usb1="C0007843" w:usb2="00000009" w:usb3="00000000" w:csb0="400001FF" w:csb1="FFFF0000"/>
    <w:embedRegular r:id="rId2" w:fontKey="{AAA419CE-5E91-4345-8E36-7BC43A6D93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495FBA5-D964-423E-8F21-DD09DEC81107}"/>
  </w:font>
  <w:font w:name="方正公文小标宋">
    <w:panose1 w:val="02000500000000000000"/>
    <w:charset w:val="86"/>
    <w:family w:val="auto"/>
    <w:pitch w:val="default"/>
    <w:sig w:usb0="A00002BF" w:usb1="38CF7CFA" w:usb2="00000016" w:usb3="00000000" w:csb0="00040001" w:csb1="00000000"/>
    <w:embedRegular r:id="rId4" w:fontKey="{2E936A35-0E53-412F-B3B1-68F09FB585BA}"/>
  </w:font>
  <w:font w:name="仿宋_GB2312">
    <w:panose1 w:val="02010609030101010101"/>
    <w:charset w:val="86"/>
    <w:family w:val="modern"/>
    <w:pitch w:val="default"/>
    <w:sig w:usb0="00000001" w:usb1="080E0000" w:usb2="00000000" w:usb3="00000000" w:csb0="00040000" w:csb1="00000000"/>
    <w:embedRegular r:id="rId5" w:fontKey="{BEA7BB98-35BC-4E1D-B2A0-ED370668E7E4}"/>
  </w:font>
  <w:font w:name="方正仿宋_GB2312">
    <w:panose1 w:val="02000000000000000000"/>
    <w:charset w:val="86"/>
    <w:family w:val="auto"/>
    <w:pitch w:val="default"/>
    <w:sig w:usb0="A00002BF" w:usb1="184F6CFA" w:usb2="00000012" w:usb3="00000000" w:csb0="00040001" w:csb1="00000000"/>
    <w:embedRegular r:id="rId6" w:fontKey="{ED2F1358-AAD9-45C4-8BFD-1768F9244AC7}"/>
  </w:font>
  <w:font w:name="仿宋">
    <w:panose1 w:val="02010609060101010101"/>
    <w:charset w:val="86"/>
    <w:family w:val="auto"/>
    <w:pitch w:val="default"/>
    <w:sig w:usb0="800002BF" w:usb1="38CF7CFA" w:usb2="00000016" w:usb3="00000000" w:csb0="00040001" w:csb1="00000000"/>
    <w:embedRegular r:id="rId7" w:fontKey="{59F4664C-7646-4EAE-B08C-D98EC69F8B07}"/>
  </w:font>
  <w:font w:name="方正小标宋简体">
    <w:panose1 w:val="03000509000000000000"/>
    <w:charset w:val="86"/>
    <w:family w:val="auto"/>
    <w:pitch w:val="default"/>
    <w:sig w:usb0="00000001" w:usb1="080E0000" w:usb2="00000000" w:usb3="00000000" w:csb0="00040000" w:csb1="00000000"/>
    <w:embedRegular r:id="rId8" w:fontKey="{8DD08F2D-4725-421F-9FEC-0CD5C071EFE9}"/>
  </w:font>
  <w:font w:name="楷体">
    <w:panose1 w:val="02010609060101010101"/>
    <w:charset w:val="86"/>
    <w:family w:val="modern"/>
    <w:pitch w:val="default"/>
    <w:sig w:usb0="800002BF" w:usb1="38CF7CFA" w:usb2="00000016" w:usb3="00000000" w:csb0="00040001" w:csb1="00000000"/>
    <w:embedRegular r:id="rId9" w:fontKey="{1F2316BC-9FAC-420F-9EFC-F3D0134453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17E223E9"/>
    <w:multiLevelType w:val="singleLevel"/>
    <w:tmpl w:val="17E223E9"/>
    <w:lvl w:ilvl="0" w:tentative="0">
      <w:start w:val="1"/>
      <w:numFmt w:val="decimal"/>
      <w:lvlText w:val="%1."/>
      <w:lvlJc w:val="left"/>
      <w:pPr>
        <w:tabs>
          <w:tab w:val="left" w:pos="312"/>
        </w:tabs>
      </w:pPr>
    </w:lvl>
  </w:abstractNum>
  <w:abstractNum w:abstractNumId="4">
    <w:nsid w:val="30885FC4"/>
    <w:multiLevelType w:val="singleLevel"/>
    <w:tmpl w:val="30885FC4"/>
    <w:lvl w:ilvl="0" w:tentative="0">
      <w:start w:val="1"/>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DA87D7A"/>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9300</Words>
  <Characters>9563</Characters>
  <Lines>0</Lines>
  <Paragraphs>0</Paragraphs>
  <TotalTime>69</TotalTime>
  <ScaleCrop>false</ScaleCrop>
  <LinksUpToDate>false</LinksUpToDate>
  <CharactersWithSpaces>10759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2025-03-26T06:49:00Z</cp:lastPrinted>
  <dcterms:modified xsi:type="dcterms:W3CDTF">2025-03-28T09:21:40Z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