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根据医院发展需要，结合我院实际情况，现决定以院内比选方式采购普定县中医医院扩建及门诊综合楼、人防地下室建设项目（被服﹝被套、床单、枕套﹞），欢迎符合资质的公司参加比选，现将比选有关事项公告如下：</w:t>
      </w:r>
    </w:p>
    <w:p w14:paraId="334F7A2D">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普定县中医医院扩建及门诊综合楼、人防地下室建设项目（被服﹝被套、床单、枕套﹞）</w:t>
      </w:r>
    </w:p>
    <w:p w14:paraId="481D1AF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ZY20250009</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sz w:val="32"/>
          <w:szCs w:val="32"/>
          <w:lang w:eastAsia="zh-CN"/>
        </w:rPr>
      </w:pPr>
      <w:r>
        <w:rPr>
          <w:rFonts w:hint="eastAsia" w:ascii="仿宋_GB2312" w:hAnsi="仿宋_GB2312" w:eastAsia="仿宋_GB2312" w:cs="仿宋_GB2312"/>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12DEE135">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仿宋_GB2312" w:hAnsi="仿宋_GB2312" w:eastAsia="仿宋_GB2312" w:cs="仿宋_GB2312"/>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lang w:eastAsia="zh-CN"/>
        </w:rPr>
        <w:t>、公示时间及报名地点：</w:t>
      </w:r>
      <w:r>
        <w:rPr>
          <w:rFonts w:hint="eastAsia" w:ascii="仿宋" w:hAnsi="仿宋" w:eastAsia="仿宋" w:cs="仿宋"/>
          <w:sz w:val="32"/>
          <w:szCs w:val="32"/>
          <w:lang w:val="en-US" w:eastAsia="zh-CN"/>
        </w:rPr>
        <w:t>2025年4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11</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lang w:eastAsia="zh-CN"/>
        </w:rPr>
      </w:pPr>
      <w:r>
        <w:rPr>
          <w:rFonts w:hint="eastAsia" w:ascii="仿宋_GB2312" w:hAnsi="仿宋_GB2312" w:eastAsia="仿宋_GB2312" w:cs="仿宋_GB2312"/>
          <w:b/>
          <w:bCs/>
          <w:sz w:val="32"/>
          <w:szCs w:val="32"/>
          <w:lang w:val="en-US" w:eastAsia="zh-CN"/>
        </w:rPr>
        <w:t>七、比选时间：</w:t>
      </w:r>
      <w:r>
        <w:rPr>
          <w:rFonts w:hint="eastAsia" w:ascii="仿宋" w:hAnsi="仿宋" w:eastAsia="仿宋" w:cs="仿宋"/>
          <w:sz w:val="32"/>
          <w:szCs w:val="32"/>
          <w:lang w:val="en-US" w:eastAsia="zh-CN"/>
        </w:rPr>
        <w:t>拟2025年4月14日下午14:30，如有变动，另行通知。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F2570C5">
      <w:pPr>
        <w:pStyle w:val="4"/>
        <w:ind w:firstLine="1280" w:firstLineChars="4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2025年4月7日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E6DFF4B">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3FE08DE">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tabs>
          <w:tab w:val="left" w:pos="756"/>
        </w:tabs>
        <w:spacing w:line="560" w:lineRule="exact"/>
        <w:ind w:firstLine="640" w:firstLineChars="200"/>
        <w:rPr>
          <w:rFonts w:hint="eastAsia" w:ascii="仿宋" w:hAnsi="仿宋" w:eastAsia="仿宋" w:cs="仿宋"/>
          <w:sz w:val="32"/>
          <w:szCs w:val="32"/>
          <w:lang w:val="en-US" w:eastAsia="zh-CN"/>
        </w:rPr>
      </w:pPr>
    </w:p>
    <w:p w14:paraId="3E8463F6">
      <w:pPr>
        <w:tabs>
          <w:tab w:val="left" w:pos="756"/>
        </w:tabs>
        <w:spacing w:line="560" w:lineRule="exact"/>
        <w:ind w:firstLine="640" w:firstLineChars="200"/>
        <w:rPr>
          <w:rFonts w:hint="eastAsia" w:ascii="仿宋" w:hAnsi="仿宋" w:eastAsia="仿宋" w:cs="仿宋"/>
          <w:sz w:val="32"/>
          <w:szCs w:val="32"/>
          <w:lang w:val="en-US" w:eastAsia="zh-CN"/>
        </w:rPr>
      </w:pPr>
    </w:p>
    <w:p w14:paraId="4F55BDA8">
      <w:pPr>
        <w:tabs>
          <w:tab w:val="left" w:pos="756"/>
        </w:tabs>
        <w:spacing w:line="560" w:lineRule="exact"/>
        <w:ind w:firstLine="640" w:firstLineChars="200"/>
        <w:rPr>
          <w:rFonts w:hint="eastAsia" w:ascii="仿宋" w:hAnsi="仿宋" w:eastAsia="仿宋" w:cs="仿宋"/>
          <w:sz w:val="32"/>
          <w:szCs w:val="32"/>
          <w:lang w:val="en-US" w:eastAsia="zh-CN"/>
        </w:rPr>
      </w:pPr>
    </w:p>
    <w:p w14:paraId="2CC3570C">
      <w:pPr>
        <w:tabs>
          <w:tab w:val="left" w:pos="756"/>
        </w:tabs>
        <w:spacing w:line="560" w:lineRule="exact"/>
        <w:ind w:firstLine="640" w:firstLineChars="200"/>
        <w:rPr>
          <w:rFonts w:hint="eastAsia" w:ascii="仿宋" w:hAnsi="仿宋" w:eastAsia="仿宋" w:cs="仿宋"/>
          <w:sz w:val="32"/>
          <w:szCs w:val="32"/>
          <w:lang w:val="en-US" w:eastAsia="zh-CN"/>
        </w:rPr>
      </w:pPr>
    </w:p>
    <w:p w14:paraId="5935423B">
      <w:pPr>
        <w:tabs>
          <w:tab w:val="left" w:pos="756"/>
        </w:tabs>
        <w:spacing w:line="560" w:lineRule="exact"/>
        <w:ind w:firstLine="640" w:firstLineChars="200"/>
        <w:rPr>
          <w:rFonts w:hint="eastAsia" w:ascii="仿宋" w:hAnsi="仿宋" w:eastAsia="仿宋" w:cs="仿宋"/>
          <w:sz w:val="32"/>
          <w:szCs w:val="32"/>
          <w:lang w:val="en-US" w:eastAsia="zh-CN"/>
        </w:rPr>
      </w:pPr>
    </w:p>
    <w:p w14:paraId="57DEE9B9">
      <w:pPr>
        <w:tabs>
          <w:tab w:val="left" w:pos="756"/>
        </w:tabs>
        <w:spacing w:line="560" w:lineRule="exact"/>
        <w:ind w:firstLine="640" w:firstLineChars="200"/>
        <w:rPr>
          <w:rFonts w:hint="eastAsia" w:ascii="仿宋" w:hAnsi="仿宋" w:eastAsia="仿宋" w:cs="仿宋"/>
          <w:sz w:val="32"/>
          <w:szCs w:val="32"/>
          <w:lang w:val="en-US" w:eastAsia="zh-CN"/>
        </w:rPr>
      </w:pPr>
    </w:p>
    <w:p w14:paraId="4794008D">
      <w:pPr>
        <w:tabs>
          <w:tab w:val="left" w:pos="756"/>
        </w:tabs>
        <w:spacing w:line="560" w:lineRule="exact"/>
        <w:ind w:firstLine="640" w:firstLineChars="200"/>
        <w:rPr>
          <w:rFonts w:hint="eastAsia" w:ascii="仿宋" w:hAnsi="仿宋" w:eastAsia="仿宋" w:cs="仿宋"/>
          <w:sz w:val="32"/>
          <w:szCs w:val="32"/>
          <w:lang w:val="en-US" w:eastAsia="zh-CN"/>
        </w:rPr>
      </w:pPr>
    </w:p>
    <w:p w14:paraId="5DE37D5B">
      <w:pPr>
        <w:tabs>
          <w:tab w:val="left" w:pos="756"/>
        </w:tabs>
        <w:spacing w:line="560" w:lineRule="exact"/>
        <w:ind w:firstLine="6080" w:firstLineChars="1900"/>
        <w:rPr>
          <w:rFonts w:hint="eastAsia" w:ascii="仿宋" w:hAnsi="仿宋" w:eastAsia="仿宋" w:cs="仿宋"/>
          <w:sz w:val="32"/>
          <w:szCs w:val="32"/>
          <w:lang w:val="en-US" w:eastAsia="zh-CN"/>
        </w:rPr>
      </w:pPr>
    </w:p>
    <w:p w14:paraId="7BB66284">
      <w:pPr>
        <w:tabs>
          <w:tab w:val="left" w:pos="756"/>
        </w:tabs>
        <w:spacing w:line="560" w:lineRule="exact"/>
        <w:ind w:firstLine="6080" w:firstLineChars="1900"/>
        <w:rPr>
          <w:rFonts w:hint="eastAsia" w:ascii="仿宋" w:hAnsi="仿宋" w:eastAsia="仿宋" w:cs="仿宋"/>
          <w:sz w:val="32"/>
          <w:szCs w:val="32"/>
          <w:lang w:val="en-US" w:eastAsia="zh-CN"/>
        </w:rPr>
      </w:pPr>
    </w:p>
    <w:p w14:paraId="490C6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7D32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68980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FF017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95FB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B0572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0ED4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B1798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0A099A8B">
      <w:pPr>
        <w:spacing w:before="0" w:line="240" w:lineRule="auto"/>
        <w:ind w:left="0" w:right="0" w:firstLine="0"/>
        <w:jc w:val="center"/>
        <w:rPr>
          <w:rFonts w:ascii="宋体" w:hAnsi="宋体" w:eastAsia="宋体" w:cs="宋体"/>
          <w:b/>
          <w:bCs/>
          <w:sz w:val="30"/>
          <w:szCs w:val="30"/>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tbl>
      <w:tblPr>
        <w:tblStyle w:val="8"/>
        <w:tblW w:w="10396"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796"/>
        <w:gridCol w:w="1420"/>
        <w:gridCol w:w="1081"/>
        <w:gridCol w:w="4919"/>
        <w:gridCol w:w="1372"/>
      </w:tblGrid>
      <w:tr w14:paraId="0AC6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vAlign w:val="center"/>
          </w:tcPr>
          <w:p w14:paraId="5DFD550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796" w:type="dxa"/>
            <w:vAlign w:val="center"/>
          </w:tcPr>
          <w:p w14:paraId="4BED7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物品名称</w:t>
            </w:r>
          </w:p>
        </w:tc>
        <w:tc>
          <w:tcPr>
            <w:tcW w:w="1420" w:type="dxa"/>
            <w:vAlign w:val="center"/>
          </w:tcPr>
          <w:p w14:paraId="17C9973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w:t>
            </w:r>
          </w:p>
        </w:tc>
        <w:tc>
          <w:tcPr>
            <w:tcW w:w="1081" w:type="dxa"/>
            <w:shd w:val="clear" w:color="auto" w:fill="auto"/>
            <w:vAlign w:val="center"/>
          </w:tcPr>
          <w:p w14:paraId="34C1A3B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c>
          <w:tcPr>
            <w:tcW w:w="4919" w:type="dxa"/>
            <w:shd w:val="clear" w:color="auto" w:fill="auto"/>
            <w:vAlign w:val="center"/>
          </w:tcPr>
          <w:p w14:paraId="1216F05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参数</w:t>
            </w:r>
          </w:p>
        </w:tc>
        <w:tc>
          <w:tcPr>
            <w:tcW w:w="1372" w:type="dxa"/>
            <w:vAlign w:val="center"/>
          </w:tcPr>
          <w:p w14:paraId="4B789A1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单价最高限价</w:t>
            </w:r>
          </w:p>
          <w:p w14:paraId="1D1C70C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（人民币元）</w:t>
            </w:r>
          </w:p>
        </w:tc>
      </w:tr>
      <w:tr w14:paraId="2BE3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08" w:type="dxa"/>
            <w:vAlign w:val="center"/>
          </w:tcPr>
          <w:p w14:paraId="7A5D27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796" w:type="dxa"/>
            <w:vAlign w:val="center"/>
          </w:tcPr>
          <w:p w14:paraId="6948299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被套</w:t>
            </w:r>
          </w:p>
        </w:tc>
        <w:tc>
          <w:tcPr>
            <w:tcW w:w="1420" w:type="dxa"/>
            <w:vAlign w:val="center"/>
          </w:tcPr>
          <w:p w14:paraId="0666B24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32"/>
                <w:szCs w:val="32"/>
                <w:lang w:val="en-US" w:eastAsia="zh-CN"/>
              </w:rPr>
            </w:pPr>
            <w:r>
              <w:rPr>
                <w:rFonts w:hint="eastAsia" w:ascii="仿宋" w:hAnsi="仿宋" w:eastAsia="仿宋" w:cs="仿宋"/>
                <w:sz w:val="24"/>
                <w:szCs w:val="24"/>
                <w:lang w:val="en-US" w:eastAsia="zh-CN"/>
              </w:rPr>
              <w:t>160*250</w:t>
            </w:r>
          </w:p>
        </w:tc>
        <w:tc>
          <w:tcPr>
            <w:tcW w:w="1081" w:type="dxa"/>
            <w:vMerge w:val="restart"/>
            <w:shd w:val="clear" w:color="auto" w:fill="auto"/>
            <w:vAlign w:val="center"/>
          </w:tcPr>
          <w:p w14:paraId="1934280F">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600套</w:t>
            </w:r>
          </w:p>
        </w:tc>
        <w:tc>
          <w:tcPr>
            <w:tcW w:w="4919" w:type="dxa"/>
            <w:vMerge w:val="restart"/>
            <w:shd w:val="clear" w:color="auto" w:fill="auto"/>
            <w:vAlign w:val="center"/>
          </w:tcPr>
          <w:p w14:paraId="4FD46B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rPr>
              <w:t>★</w:t>
            </w:r>
            <w:r>
              <w:rPr>
                <w:rFonts w:hint="eastAsia" w:ascii="仿宋" w:hAnsi="仿宋" w:eastAsia="仿宋" w:cs="仿宋"/>
                <w:sz w:val="24"/>
                <w:szCs w:val="24"/>
                <w:lang w:val="en-US" w:eastAsia="zh-CN"/>
              </w:rPr>
              <w:t>面料成份：CVC涤棉2公分锻条</w:t>
            </w:r>
          </w:p>
          <w:p w14:paraId="569CA86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rPr>
              <w:t>★</w:t>
            </w:r>
            <w:r>
              <w:rPr>
                <w:rFonts w:hint="eastAsia" w:ascii="仿宋" w:hAnsi="仿宋" w:eastAsia="仿宋" w:cs="仿宋"/>
                <w:sz w:val="24"/>
                <w:szCs w:val="24"/>
                <w:lang w:val="en-US" w:eastAsia="zh-CN"/>
              </w:rPr>
              <w:t>纱支30X30，密度133X76，50%棉，50%涤</w:t>
            </w:r>
          </w:p>
          <w:p w14:paraId="4E5F380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rPr>
              <w:t>★</w:t>
            </w:r>
            <w:r>
              <w:rPr>
                <w:rFonts w:hint="eastAsia" w:ascii="仿宋" w:hAnsi="仿宋" w:eastAsia="仿宋" w:cs="仿宋"/>
                <w:sz w:val="24"/>
                <w:szCs w:val="24"/>
                <w:lang w:val="en-US" w:eastAsia="zh-CN"/>
              </w:rPr>
              <w:t>纱支20Ⅹ16，密度128X60，</w:t>
            </w:r>
          </w:p>
          <w:p w14:paraId="1E46382A">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按照《纺织品纤维含量的标识》GB18401-2010及以上标准执行</w:t>
            </w:r>
          </w:p>
          <w:p w14:paraId="66126BC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1.单位面积质量：≥260g/㎡</w:t>
            </w:r>
          </w:p>
          <w:p w14:paraId="7661DE1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2.纱线线密度(s)：经纱：9.4（62.8），纬纱：9.1（64.9）。</w:t>
            </w:r>
          </w:p>
          <w:p w14:paraId="36B1FA1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密度(根/10cm)：经向：≥686.0（174.2），纬向 ：≥598.0（151.9）</w:t>
            </w:r>
          </w:p>
          <w:p w14:paraId="74215A6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3.水洗尺寸变化率：经向： -4.6-- +4.6，纬向: -4.6-- +4.6</w:t>
            </w:r>
          </w:p>
          <w:p w14:paraId="1F85F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4.pH值：6.0---7.3</w:t>
            </w:r>
          </w:p>
          <w:p w14:paraId="30834EE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5.甲醛含量（C类）：未检测出</w:t>
            </w:r>
          </w:p>
          <w:p w14:paraId="67AC5B1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6.24种可分解致癌芳香胺染料：未检测出</w:t>
            </w:r>
          </w:p>
          <w:p w14:paraId="781689B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7.耐水洗色牢度(级)：变色4—5，沾色4—5</w:t>
            </w:r>
          </w:p>
          <w:p w14:paraId="2CD153C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8.耐皂洗色牢度(级)：变色4—5，沾色4—5</w:t>
            </w:r>
          </w:p>
          <w:p w14:paraId="1B19677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9.耐酸汗渍色牢度(级)：变色4—5，沾色4—5</w:t>
            </w:r>
          </w:p>
          <w:p w14:paraId="69866EA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10.耐碱汗渍色牢度(级)：变色4—5，沾色4—5</w:t>
            </w:r>
          </w:p>
          <w:p w14:paraId="372680DF">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11.耐摩擦色牢度(级)：干摩4—5，湿摩4—5</w:t>
            </w:r>
          </w:p>
        </w:tc>
        <w:tc>
          <w:tcPr>
            <w:tcW w:w="1372" w:type="dxa"/>
            <w:vMerge w:val="restart"/>
            <w:vAlign w:val="center"/>
          </w:tcPr>
          <w:p w14:paraId="57C13FD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140元/套</w:t>
            </w:r>
          </w:p>
        </w:tc>
      </w:tr>
      <w:tr w14:paraId="4A9A4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9" w:hRule="atLeast"/>
        </w:trPr>
        <w:tc>
          <w:tcPr>
            <w:tcW w:w="808" w:type="dxa"/>
            <w:vAlign w:val="center"/>
          </w:tcPr>
          <w:p w14:paraId="08D81AF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796" w:type="dxa"/>
            <w:vAlign w:val="center"/>
          </w:tcPr>
          <w:p w14:paraId="7473160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床单</w:t>
            </w:r>
          </w:p>
        </w:tc>
        <w:tc>
          <w:tcPr>
            <w:tcW w:w="1420" w:type="dxa"/>
            <w:vAlign w:val="center"/>
          </w:tcPr>
          <w:p w14:paraId="2E046CD3">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160*220</w:t>
            </w:r>
          </w:p>
        </w:tc>
        <w:tc>
          <w:tcPr>
            <w:tcW w:w="1081" w:type="dxa"/>
            <w:vMerge w:val="continue"/>
            <w:shd w:val="clear" w:color="auto" w:fill="auto"/>
            <w:vAlign w:val="center"/>
          </w:tcPr>
          <w:p w14:paraId="5FE5942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c>
          <w:tcPr>
            <w:tcW w:w="4919" w:type="dxa"/>
            <w:vMerge w:val="continue"/>
            <w:vAlign w:val="center"/>
          </w:tcPr>
          <w:p w14:paraId="5DD6321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p>
        </w:tc>
        <w:tc>
          <w:tcPr>
            <w:tcW w:w="1372" w:type="dxa"/>
            <w:vMerge w:val="continue"/>
            <w:vAlign w:val="center"/>
          </w:tcPr>
          <w:p w14:paraId="0278C60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r>
      <w:tr w14:paraId="7D589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08" w:type="dxa"/>
            <w:vAlign w:val="center"/>
          </w:tcPr>
          <w:p w14:paraId="3D65D8C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796" w:type="dxa"/>
            <w:vAlign w:val="center"/>
          </w:tcPr>
          <w:p w14:paraId="430DCB5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枕套</w:t>
            </w:r>
          </w:p>
        </w:tc>
        <w:tc>
          <w:tcPr>
            <w:tcW w:w="1420" w:type="dxa"/>
            <w:vAlign w:val="center"/>
          </w:tcPr>
          <w:p w14:paraId="4C1796C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50*70</w:t>
            </w:r>
          </w:p>
        </w:tc>
        <w:tc>
          <w:tcPr>
            <w:tcW w:w="1081" w:type="dxa"/>
            <w:vMerge w:val="continue"/>
            <w:shd w:val="clear" w:color="auto" w:fill="auto"/>
            <w:vAlign w:val="center"/>
          </w:tcPr>
          <w:p w14:paraId="7A7759E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24"/>
                <w:lang w:val="en-US" w:eastAsia="zh-CN"/>
              </w:rPr>
            </w:pPr>
          </w:p>
        </w:tc>
        <w:tc>
          <w:tcPr>
            <w:tcW w:w="4919" w:type="dxa"/>
            <w:vMerge w:val="continue"/>
            <w:vAlign w:val="center"/>
          </w:tcPr>
          <w:p w14:paraId="1D58F9D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c>
          <w:tcPr>
            <w:tcW w:w="1372" w:type="dxa"/>
            <w:vMerge w:val="continue"/>
            <w:vAlign w:val="center"/>
          </w:tcPr>
          <w:p w14:paraId="20EA8B6B">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p>
        </w:tc>
      </w:tr>
    </w:tbl>
    <w:p w14:paraId="0067EB7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1"/>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sz w:val="24"/>
                <w:szCs w:val="24"/>
                <w:lang w:val="en-US" w:eastAsia="zh-CN"/>
              </w:rPr>
            </w:pPr>
            <w:r>
              <w:rPr>
                <w:rFonts w:hint="eastAsia"/>
                <w:b/>
                <w:bCs/>
                <w:sz w:val="24"/>
                <w:szCs w:val="24"/>
                <w:lang w:val="en-US" w:eastAsia="zh-CN"/>
              </w:rPr>
              <w:t>序号</w:t>
            </w:r>
          </w:p>
        </w:tc>
        <w:tc>
          <w:tcPr>
            <w:tcW w:w="1511" w:type="dxa"/>
            <w:noWrap w:val="0"/>
            <w:vAlign w:val="center"/>
          </w:tcPr>
          <w:p w14:paraId="1DC6E87E">
            <w:pPr>
              <w:pStyle w:val="2"/>
              <w:spacing w:line="400" w:lineRule="exact"/>
              <w:jc w:val="center"/>
              <w:rPr>
                <w:b/>
                <w:bCs/>
                <w:sz w:val="24"/>
                <w:szCs w:val="24"/>
                <w:lang w:val="en-US" w:eastAsia="zh-CN"/>
              </w:rPr>
            </w:pPr>
            <w:r>
              <w:rPr>
                <w:rFonts w:hint="eastAsia"/>
                <w:b/>
                <w:bCs/>
                <w:sz w:val="24"/>
                <w:szCs w:val="24"/>
                <w:lang w:val="en-US" w:eastAsia="zh-CN"/>
              </w:rPr>
              <w:t>评分项目</w:t>
            </w:r>
          </w:p>
        </w:tc>
        <w:tc>
          <w:tcPr>
            <w:tcW w:w="750" w:type="dxa"/>
            <w:noWrap w:val="0"/>
            <w:vAlign w:val="center"/>
          </w:tcPr>
          <w:p w14:paraId="3FC902F2">
            <w:pPr>
              <w:pStyle w:val="2"/>
              <w:spacing w:line="400" w:lineRule="exact"/>
              <w:jc w:val="center"/>
              <w:rPr>
                <w:b/>
                <w:bCs/>
                <w:sz w:val="24"/>
                <w:szCs w:val="24"/>
                <w:lang w:val="en-US" w:eastAsia="zh-CN"/>
              </w:rPr>
            </w:pPr>
            <w:r>
              <w:rPr>
                <w:rFonts w:hint="eastAsia"/>
                <w:b/>
                <w:bCs/>
                <w:sz w:val="24"/>
                <w:szCs w:val="24"/>
                <w:lang w:val="en-US" w:eastAsia="zh-CN"/>
              </w:rPr>
              <w:t>分值</w:t>
            </w:r>
          </w:p>
        </w:tc>
        <w:tc>
          <w:tcPr>
            <w:tcW w:w="11015" w:type="dxa"/>
            <w:noWrap w:val="0"/>
            <w:vAlign w:val="center"/>
          </w:tcPr>
          <w:p w14:paraId="78A38A3F">
            <w:pPr>
              <w:pStyle w:val="2"/>
              <w:spacing w:line="400" w:lineRule="exact"/>
              <w:jc w:val="center"/>
              <w:rPr>
                <w:b/>
                <w:bCs/>
                <w:sz w:val="24"/>
                <w:szCs w:val="24"/>
                <w:lang w:val="en-US" w:eastAsia="zh-CN"/>
              </w:rPr>
            </w:pPr>
            <w:r>
              <w:rPr>
                <w:rFonts w:hint="eastAsia"/>
                <w:b/>
                <w:bCs/>
                <w:sz w:val="24"/>
                <w:szCs w:val="24"/>
                <w:lang w:val="en-US" w:eastAsia="zh-CN"/>
              </w:rPr>
              <w:t>评分依据</w:t>
            </w:r>
          </w:p>
        </w:tc>
        <w:tc>
          <w:tcPr>
            <w:tcW w:w="997" w:type="dxa"/>
            <w:noWrap w:val="0"/>
            <w:vAlign w:val="center"/>
          </w:tcPr>
          <w:p w14:paraId="5240BA37">
            <w:pPr>
              <w:pStyle w:val="2"/>
              <w:spacing w:line="400" w:lineRule="exact"/>
              <w:jc w:val="center"/>
              <w:rPr>
                <w:rFonts w:hint="eastAsia"/>
                <w:b/>
                <w:bCs/>
                <w:sz w:val="24"/>
                <w:szCs w:val="24"/>
                <w:lang w:val="en-US" w:eastAsia="zh-CN"/>
              </w:rPr>
            </w:pPr>
            <w:r>
              <w:rPr>
                <w:rFonts w:hint="eastAsia"/>
                <w:b/>
                <w:bCs/>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38" w:type="dxa"/>
            <w:vMerge w:val="restart"/>
            <w:noWrap w:val="0"/>
            <w:vAlign w:val="center"/>
          </w:tcPr>
          <w:p w14:paraId="7FE053C2">
            <w:pPr>
              <w:pStyle w:val="2"/>
              <w:spacing w:line="300" w:lineRule="exact"/>
              <w:ind w:firstLine="207" w:firstLineChars="98"/>
              <w:rPr>
                <w:b/>
                <w:bCs/>
                <w:lang w:val="en-US" w:eastAsia="zh-CN"/>
              </w:rPr>
            </w:pPr>
            <w:r>
              <w:rPr>
                <w:b/>
                <w:bCs/>
                <w:lang w:val="en-US" w:eastAsia="zh-CN"/>
              </w:rPr>
              <w:t>1</w:t>
            </w:r>
          </w:p>
        </w:tc>
        <w:tc>
          <w:tcPr>
            <w:tcW w:w="1511" w:type="dxa"/>
            <w:vMerge w:val="restart"/>
            <w:noWrap w:val="0"/>
            <w:vAlign w:val="center"/>
          </w:tcPr>
          <w:p w14:paraId="674AFFD8">
            <w:pPr>
              <w:pStyle w:val="2"/>
              <w:spacing w:line="300" w:lineRule="exact"/>
              <w:jc w:val="center"/>
              <w:rPr>
                <w:b/>
                <w:bCs/>
                <w:lang w:val="en-US" w:eastAsia="zh-CN"/>
              </w:rPr>
            </w:pPr>
            <w:r>
              <w:rPr>
                <w:rFonts w:hint="eastAsia"/>
                <w:b/>
                <w:bCs/>
                <w:lang w:val="en-US" w:eastAsia="zh-CN"/>
              </w:rPr>
              <w:t>报价</w:t>
            </w:r>
          </w:p>
        </w:tc>
        <w:tc>
          <w:tcPr>
            <w:tcW w:w="750" w:type="dxa"/>
            <w:noWrap w:val="0"/>
            <w:vAlign w:val="center"/>
          </w:tcPr>
          <w:p w14:paraId="0CBA4B72">
            <w:pPr>
              <w:spacing w:line="300" w:lineRule="exact"/>
              <w:jc w:val="center"/>
            </w:pPr>
            <w:r>
              <w:rPr>
                <w:rFonts w:hint="eastAsia"/>
                <w:lang w:val="en-US" w:eastAsia="zh-CN"/>
              </w:rPr>
              <w:t>60</w:t>
            </w:r>
            <w:r>
              <w:rPr>
                <w:rFonts w:hint="eastAsia"/>
              </w:rPr>
              <w:t>分</w:t>
            </w:r>
          </w:p>
        </w:tc>
        <w:tc>
          <w:tcPr>
            <w:tcW w:w="11015" w:type="dxa"/>
            <w:noWrap w:val="0"/>
            <w:vAlign w:val="center"/>
          </w:tcPr>
          <w:p w14:paraId="63358F98">
            <w:pPr>
              <w:spacing w:line="300" w:lineRule="exact"/>
            </w:pPr>
            <w:r>
              <w:rPr>
                <w:rFonts w:hint="eastAsia"/>
                <w:iCs/>
              </w:rPr>
              <w:t>报价得分</w:t>
            </w:r>
            <w:r>
              <w:rPr>
                <w:iCs/>
              </w:rPr>
              <w:t>=</w:t>
            </w:r>
            <w:r>
              <w:rPr>
                <w:rFonts w:hint="eastAsia"/>
                <w:iCs/>
              </w:rPr>
              <w:t>〔有效</w:t>
            </w:r>
            <w:r>
              <w:rPr>
                <w:rFonts w:hint="eastAsia"/>
                <w:iCs/>
                <w:lang w:eastAsia="zh-CN"/>
              </w:rPr>
              <w:t>参选</w:t>
            </w:r>
            <w:r>
              <w:rPr>
                <w:rFonts w:hint="eastAsia"/>
                <w:iCs/>
              </w:rPr>
              <w:t>人最低</w:t>
            </w:r>
            <w:r>
              <w:rPr>
                <w:rFonts w:hint="eastAsia"/>
                <w:iCs/>
                <w:lang w:eastAsia="zh-CN"/>
              </w:rPr>
              <w:t>报</w:t>
            </w:r>
            <w:r>
              <w:rPr>
                <w:rFonts w:hint="eastAsia"/>
                <w:iCs/>
              </w:rPr>
              <w:t>价÷本</w:t>
            </w:r>
            <w:r>
              <w:rPr>
                <w:rFonts w:hint="eastAsia"/>
                <w:iCs/>
                <w:lang w:eastAsia="zh-CN"/>
              </w:rPr>
              <w:t>参选</w:t>
            </w:r>
            <w:r>
              <w:rPr>
                <w:rFonts w:hint="eastAsia"/>
                <w:iCs/>
              </w:rPr>
              <w:t>人</w:t>
            </w:r>
            <w:r>
              <w:rPr>
                <w:rFonts w:hint="eastAsia"/>
                <w:iCs/>
                <w:lang w:eastAsia="zh-CN"/>
              </w:rPr>
              <w:t>报</w:t>
            </w:r>
            <w:r>
              <w:rPr>
                <w:rFonts w:hint="eastAsia"/>
                <w:iCs/>
              </w:rPr>
              <w:t>价〕×</w:t>
            </w:r>
            <w:r>
              <w:rPr>
                <w:rFonts w:hint="eastAsia"/>
                <w:iCs/>
                <w:lang w:val="en-US" w:eastAsia="zh-CN"/>
              </w:rPr>
              <w:t>6</w:t>
            </w:r>
            <w:r>
              <w:rPr>
                <w:iCs/>
              </w:rPr>
              <w:t>0</w:t>
            </w:r>
          </w:p>
          <w:p w14:paraId="19BFD94A">
            <w:pPr>
              <w:spacing w:line="300" w:lineRule="exact"/>
              <w:rPr>
                <w:iCs/>
              </w:rPr>
            </w:pPr>
            <w:r>
              <w:rPr>
                <w:rFonts w:hint="eastAsia"/>
                <w:b/>
              </w:rPr>
              <w:t>注：监狱企业、残疾人福利性单位视同小型、微型企业，不重复享受政策。</w:t>
            </w:r>
          </w:p>
        </w:tc>
        <w:tc>
          <w:tcPr>
            <w:tcW w:w="997" w:type="dxa"/>
            <w:noWrap w:val="0"/>
            <w:vAlign w:val="center"/>
          </w:tcPr>
          <w:p w14:paraId="1BF44AE1">
            <w:pPr>
              <w:spacing w:line="30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trPr>
        <w:tc>
          <w:tcPr>
            <w:tcW w:w="738" w:type="dxa"/>
            <w:vMerge w:val="continue"/>
            <w:noWrap w:val="0"/>
            <w:vAlign w:val="center"/>
          </w:tcPr>
          <w:p w14:paraId="3F4D358D">
            <w:pPr>
              <w:pStyle w:val="2"/>
              <w:spacing w:line="300" w:lineRule="exact"/>
              <w:ind w:firstLine="207" w:firstLineChars="98"/>
              <w:rPr>
                <w:b/>
                <w:bCs/>
                <w:lang w:val="en-US" w:eastAsia="zh-CN"/>
              </w:rPr>
            </w:pPr>
          </w:p>
        </w:tc>
        <w:tc>
          <w:tcPr>
            <w:tcW w:w="1511" w:type="dxa"/>
            <w:vMerge w:val="continue"/>
            <w:noWrap w:val="0"/>
            <w:vAlign w:val="center"/>
          </w:tcPr>
          <w:p w14:paraId="589530A8">
            <w:pPr>
              <w:pStyle w:val="2"/>
              <w:spacing w:line="300" w:lineRule="exact"/>
              <w:jc w:val="center"/>
              <w:rPr>
                <w:rFonts w:hint="eastAsia"/>
                <w:b/>
                <w:bCs/>
                <w:lang w:val="en-US" w:eastAsia="zh-CN"/>
              </w:rPr>
            </w:pPr>
          </w:p>
        </w:tc>
        <w:tc>
          <w:tcPr>
            <w:tcW w:w="750" w:type="dxa"/>
            <w:noWrap w:val="0"/>
            <w:vAlign w:val="center"/>
          </w:tcPr>
          <w:p w14:paraId="3E08ACD3">
            <w:pPr>
              <w:spacing w:line="300" w:lineRule="exact"/>
              <w:jc w:val="center"/>
              <w:rPr>
                <w:rFonts w:hint="default"/>
                <w:lang w:val="en-US" w:eastAsia="zh-CN"/>
              </w:rPr>
            </w:pPr>
            <w:r>
              <w:rPr>
                <w:rFonts w:hint="eastAsia"/>
                <w:lang w:val="en-US" w:eastAsia="zh-CN"/>
              </w:rPr>
              <w:t>24分</w:t>
            </w:r>
          </w:p>
        </w:tc>
        <w:tc>
          <w:tcPr>
            <w:tcW w:w="11015" w:type="dxa"/>
            <w:noWrap w:val="0"/>
            <w:vAlign w:val="center"/>
          </w:tcPr>
          <w:p w14:paraId="379FB367">
            <w:pPr>
              <w:spacing w:line="300" w:lineRule="exact"/>
              <w:rPr>
                <w:rFonts w:hint="eastAsia"/>
                <w:lang w:val="en-US" w:eastAsia="zh-CN"/>
              </w:rPr>
            </w:pPr>
            <w:r>
              <w:rPr>
                <w:rFonts w:hint="eastAsia"/>
                <w:lang w:val="en-US" w:eastAsia="zh-CN"/>
              </w:rPr>
              <w:t>接受总货款平均分6个月支付得10分，每增加一个月加1分，以此类推计算总分（最高不超过20分）。</w:t>
            </w:r>
          </w:p>
          <w:p w14:paraId="410E4ECE">
            <w:pPr>
              <w:spacing w:line="300" w:lineRule="exact"/>
              <w:rPr>
                <w:rFonts w:hint="default" w:eastAsiaTheme="minorEastAsia"/>
                <w:b/>
                <w:lang w:val="en-US" w:eastAsia="zh-CN"/>
              </w:rPr>
            </w:pPr>
            <w:r>
              <w:rPr>
                <w:rFonts w:hint="eastAsia"/>
                <w:lang w:val="en-US" w:eastAsia="zh-CN"/>
              </w:rPr>
              <w:t>付款周期低于六个月支付不得分</w:t>
            </w:r>
            <w:bookmarkStart w:id="2" w:name="_GoBack"/>
            <w:bookmarkEnd w:id="2"/>
          </w:p>
        </w:tc>
        <w:tc>
          <w:tcPr>
            <w:tcW w:w="997" w:type="dxa"/>
            <w:noWrap w:val="0"/>
            <w:vAlign w:val="center"/>
          </w:tcPr>
          <w:p w14:paraId="077BEBEF">
            <w:pPr>
              <w:spacing w:line="30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38" w:type="dxa"/>
            <w:noWrap w:val="0"/>
            <w:vAlign w:val="center"/>
          </w:tcPr>
          <w:p w14:paraId="59D9B4AB">
            <w:pPr>
              <w:pStyle w:val="2"/>
              <w:spacing w:line="300" w:lineRule="exact"/>
              <w:ind w:firstLine="207" w:firstLineChars="98"/>
              <w:rPr>
                <w:b/>
                <w:bCs/>
                <w:lang w:val="en-US" w:eastAsia="zh-CN"/>
              </w:rPr>
            </w:pPr>
            <w:r>
              <w:rPr>
                <w:b/>
                <w:bCs/>
                <w:lang w:val="en-US" w:eastAsia="zh-CN"/>
              </w:rPr>
              <w:t>2</w:t>
            </w:r>
          </w:p>
        </w:tc>
        <w:tc>
          <w:tcPr>
            <w:tcW w:w="1511" w:type="dxa"/>
            <w:noWrap w:val="0"/>
            <w:vAlign w:val="center"/>
          </w:tcPr>
          <w:p w14:paraId="263DBC2E">
            <w:pPr>
              <w:pStyle w:val="2"/>
              <w:spacing w:line="300" w:lineRule="exact"/>
              <w:jc w:val="center"/>
              <w:rPr>
                <w:b/>
                <w:bCs/>
                <w:lang w:val="en-US" w:eastAsia="zh-CN"/>
              </w:rPr>
            </w:pPr>
            <w:r>
              <w:rPr>
                <w:rFonts w:hint="eastAsia"/>
                <w:b/>
                <w:lang w:val="en-US" w:eastAsia="zh-CN"/>
              </w:rPr>
              <w:t>技术参数</w:t>
            </w:r>
          </w:p>
        </w:tc>
        <w:tc>
          <w:tcPr>
            <w:tcW w:w="750" w:type="dxa"/>
            <w:noWrap w:val="0"/>
            <w:vAlign w:val="center"/>
          </w:tcPr>
          <w:p w14:paraId="37FF70A4">
            <w:pPr>
              <w:spacing w:line="300" w:lineRule="exact"/>
              <w:jc w:val="center"/>
            </w:pPr>
            <w:r>
              <w:rPr>
                <w:rFonts w:hint="eastAsia"/>
                <w:lang w:val="en-US" w:eastAsia="zh-CN"/>
              </w:rPr>
              <w:t>10</w:t>
            </w:r>
            <w:r>
              <w:rPr>
                <w:rFonts w:hint="eastAsia"/>
              </w:rPr>
              <w:t>分</w:t>
            </w:r>
          </w:p>
        </w:tc>
        <w:tc>
          <w:tcPr>
            <w:tcW w:w="11015" w:type="dxa"/>
            <w:noWrap w:val="0"/>
            <w:vAlign w:val="center"/>
          </w:tcPr>
          <w:p w14:paraId="1166A289">
            <w:pPr>
              <w:spacing w:line="300" w:lineRule="exact"/>
            </w:pPr>
            <w:r>
              <w:rPr>
                <w:rFonts w:hint="eastAsia"/>
              </w:rPr>
              <w:t>依据各</w:t>
            </w:r>
            <w:r>
              <w:rPr>
                <w:rFonts w:hint="eastAsia"/>
                <w:lang w:eastAsia="zh-CN"/>
              </w:rPr>
              <w:t>参选</w:t>
            </w:r>
            <w:r>
              <w:rPr>
                <w:rFonts w:hint="eastAsia"/>
              </w:rPr>
              <w:t>人</w:t>
            </w:r>
            <w:r>
              <w:rPr>
                <w:rFonts w:hint="eastAsia"/>
                <w:lang w:eastAsia="zh-CN"/>
              </w:rPr>
              <w:t>参选</w:t>
            </w:r>
            <w:r>
              <w:rPr>
                <w:rFonts w:hint="eastAsia"/>
              </w:rPr>
              <w:t>产品的主要技术指标、参数及性能等情况，以及与</w:t>
            </w:r>
            <w:r>
              <w:rPr>
                <w:rFonts w:hint="eastAsia"/>
                <w:lang w:eastAsia="zh-CN"/>
              </w:rPr>
              <w:t>参选</w:t>
            </w:r>
            <w:r>
              <w:rPr>
                <w:rFonts w:hint="eastAsia"/>
              </w:rPr>
              <w:t>文件技术要求的偏离程度等进行评审</w:t>
            </w:r>
          </w:p>
          <w:p w14:paraId="30DD8165">
            <w:pPr>
              <w:spacing w:line="300" w:lineRule="exact"/>
            </w:pPr>
            <w:r>
              <w:t xml:space="preserve">1. </w:t>
            </w:r>
            <w:r>
              <w:rPr>
                <w:rFonts w:hint="eastAsia"/>
                <w:lang w:eastAsia="zh-CN"/>
              </w:rPr>
              <w:t>参选</w:t>
            </w:r>
            <w:r>
              <w:rPr>
                <w:rFonts w:hint="eastAsia"/>
              </w:rPr>
              <w:t>产品全部技术参数符合或优于</w:t>
            </w:r>
            <w:r>
              <w:rPr>
                <w:rFonts w:hint="eastAsia"/>
                <w:lang w:eastAsia="zh-CN"/>
              </w:rPr>
              <w:t>比选技术</w:t>
            </w:r>
            <w:r>
              <w:rPr>
                <w:rFonts w:hint="eastAsia"/>
              </w:rPr>
              <w:t>参数，得</w:t>
            </w:r>
            <w:r>
              <w:rPr>
                <w:rFonts w:hint="eastAsia"/>
                <w:lang w:val="en-US" w:eastAsia="zh-CN"/>
              </w:rPr>
              <w:t>10</w:t>
            </w:r>
            <w:r>
              <w:rPr>
                <w:rFonts w:hint="eastAsia"/>
              </w:rPr>
              <w:t>分；</w:t>
            </w:r>
          </w:p>
          <w:p w14:paraId="50E69F1E">
            <w:pPr>
              <w:spacing w:line="300" w:lineRule="exact"/>
            </w:pPr>
            <w:r>
              <w:t>2.</w:t>
            </w:r>
            <w:r>
              <w:rPr>
                <w:rFonts w:hint="eastAsia"/>
              </w:rPr>
              <w:t>技术要求内“★”号项为关键指标，负偏离的每项减</w:t>
            </w:r>
            <w:r>
              <w:rPr>
                <w:rFonts w:hint="eastAsia"/>
                <w:lang w:val="en-US" w:eastAsia="zh-CN"/>
              </w:rPr>
              <w:t>2</w:t>
            </w:r>
            <w:r>
              <w:rPr>
                <w:rFonts w:hint="eastAsia"/>
              </w:rPr>
              <w:t>分，扣完为止。</w:t>
            </w:r>
          </w:p>
          <w:p w14:paraId="40B43F81">
            <w:pPr>
              <w:spacing w:line="300" w:lineRule="exact"/>
              <w:rPr>
                <w:rFonts w:cs="宋体"/>
              </w:rPr>
            </w:pPr>
            <w:r>
              <w:rPr>
                <w:rFonts w:hint="eastAsia"/>
              </w:rPr>
              <w:t>3</w:t>
            </w:r>
            <w:r>
              <w:t>.</w:t>
            </w:r>
            <w:r>
              <w:rPr>
                <w:rFonts w:hint="eastAsia"/>
              </w:rPr>
              <w:t>非“★”一项技术参数负偏离的每项减</w:t>
            </w:r>
            <w:r>
              <w:rPr>
                <w:rFonts w:hint="eastAsia"/>
                <w:lang w:val="en-US" w:eastAsia="zh-CN"/>
              </w:rPr>
              <w:t>1</w:t>
            </w:r>
            <w:r>
              <w:rPr>
                <w:rFonts w:hint="eastAsia"/>
              </w:rPr>
              <w:t>分，扣完为止。</w:t>
            </w:r>
          </w:p>
          <w:p w14:paraId="01F9D100">
            <w:pPr>
              <w:spacing w:line="300" w:lineRule="exact"/>
              <w:rPr>
                <w:rFonts w:cs="宋体"/>
              </w:rPr>
            </w:pPr>
            <w:r>
              <w:rPr>
                <w:rFonts w:hint="eastAsia" w:cs="宋体"/>
                <w:b/>
              </w:rPr>
              <w:t>注：</w:t>
            </w:r>
            <w:r>
              <w:rPr>
                <w:rFonts w:hint="eastAsia" w:cs="宋体"/>
                <w:b/>
                <w:lang w:eastAsia="zh-CN"/>
              </w:rPr>
              <w:t>参选</w:t>
            </w:r>
            <w:r>
              <w:rPr>
                <w:rFonts w:hint="eastAsia" w:cs="宋体"/>
                <w:b/>
              </w:rPr>
              <w:t>供应商在中</w:t>
            </w:r>
            <w:r>
              <w:rPr>
                <w:rFonts w:hint="eastAsia" w:cs="宋体"/>
                <w:b/>
                <w:lang w:eastAsia="zh-CN"/>
              </w:rPr>
              <w:t>选</w:t>
            </w:r>
            <w:r>
              <w:rPr>
                <w:rFonts w:hint="eastAsia" w:cs="宋体"/>
                <w:b/>
              </w:rPr>
              <w:t>后，提供产品若与本项目</w:t>
            </w:r>
            <w:r>
              <w:rPr>
                <w:rFonts w:hint="eastAsia" w:cs="宋体"/>
                <w:b/>
                <w:lang w:eastAsia="zh-CN"/>
              </w:rPr>
              <w:t>比选</w:t>
            </w:r>
            <w:r>
              <w:rPr>
                <w:rFonts w:hint="eastAsia" w:cs="宋体"/>
                <w:b/>
              </w:rPr>
              <w:t>文件中产品不符或者劣于</w:t>
            </w:r>
            <w:r>
              <w:rPr>
                <w:rFonts w:hint="eastAsia" w:cs="宋体"/>
                <w:b/>
                <w:lang w:eastAsia="zh-CN"/>
              </w:rPr>
              <w:t>参选</w:t>
            </w:r>
            <w:r>
              <w:rPr>
                <w:rFonts w:hint="eastAsia" w:cs="宋体"/>
                <w:b/>
              </w:rPr>
              <w:t>文件中产品性能，将被取消其中</w:t>
            </w:r>
            <w:r>
              <w:rPr>
                <w:rFonts w:hint="eastAsia" w:cs="宋体"/>
                <w:b/>
                <w:lang w:eastAsia="zh-CN"/>
              </w:rPr>
              <w:t>选</w:t>
            </w:r>
            <w:r>
              <w:rPr>
                <w:rFonts w:hint="eastAsia" w:cs="宋体"/>
                <w:b/>
              </w:rPr>
              <w:t>资格，造成严重后果的，追究其相关法律责任。</w:t>
            </w:r>
          </w:p>
        </w:tc>
        <w:tc>
          <w:tcPr>
            <w:tcW w:w="997" w:type="dxa"/>
            <w:noWrap w:val="0"/>
            <w:vAlign w:val="center"/>
          </w:tcPr>
          <w:p w14:paraId="6AD86F32">
            <w:pPr>
              <w:spacing w:line="30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exact"/>
        </w:trPr>
        <w:tc>
          <w:tcPr>
            <w:tcW w:w="738" w:type="dxa"/>
            <w:noWrap w:val="0"/>
            <w:vAlign w:val="center"/>
          </w:tcPr>
          <w:p w14:paraId="07F0C3AF">
            <w:pPr>
              <w:pStyle w:val="2"/>
              <w:spacing w:line="300" w:lineRule="exact"/>
              <w:ind w:firstLine="207" w:firstLineChars="98"/>
              <w:rPr>
                <w:b/>
                <w:bCs/>
                <w:lang w:val="en-US" w:eastAsia="zh-CN"/>
              </w:rPr>
            </w:pPr>
            <w:r>
              <w:rPr>
                <w:b/>
                <w:bCs/>
                <w:lang w:val="en-US" w:eastAsia="zh-CN"/>
              </w:rPr>
              <w:t>3</w:t>
            </w:r>
          </w:p>
        </w:tc>
        <w:tc>
          <w:tcPr>
            <w:tcW w:w="1511" w:type="dxa"/>
            <w:noWrap w:val="0"/>
            <w:vAlign w:val="center"/>
          </w:tcPr>
          <w:p w14:paraId="79266B7B">
            <w:pPr>
              <w:pStyle w:val="2"/>
              <w:spacing w:line="300" w:lineRule="exact"/>
              <w:jc w:val="center"/>
              <w:rPr>
                <w:rFonts w:cs="宋体"/>
                <w:b/>
                <w:bCs/>
                <w:lang w:val="en-US" w:eastAsia="zh-CN"/>
              </w:rPr>
            </w:pPr>
            <w:r>
              <w:rPr>
                <w:rFonts w:hint="eastAsia" w:cs="宋体"/>
                <w:b/>
                <w:bCs/>
                <w:lang w:val="en-US" w:eastAsia="zh-CN"/>
              </w:rPr>
              <w:t>售后承诺</w:t>
            </w:r>
          </w:p>
        </w:tc>
        <w:tc>
          <w:tcPr>
            <w:tcW w:w="750" w:type="dxa"/>
            <w:noWrap w:val="0"/>
            <w:vAlign w:val="center"/>
          </w:tcPr>
          <w:p w14:paraId="161BAFED">
            <w:pPr>
              <w:spacing w:line="300" w:lineRule="exact"/>
              <w:jc w:val="center"/>
              <w:rPr>
                <w:rFonts w:cs="宋体"/>
              </w:rPr>
            </w:pPr>
            <w:r>
              <w:rPr>
                <w:rFonts w:hint="eastAsia" w:cs="宋体"/>
                <w:lang w:val="en-US" w:eastAsia="zh-CN"/>
              </w:rPr>
              <w:t>3</w:t>
            </w:r>
            <w:r>
              <w:rPr>
                <w:rFonts w:hint="eastAsia" w:cs="宋体"/>
              </w:rPr>
              <w:t>分</w:t>
            </w:r>
          </w:p>
        </w:tc>
        <w:tc>
          <w:tcPr>
            <w:tcW w:w="11015" w:type="dxa"/>
            <w:noWrap w:val="0"/>
            <w:vAlign w:val="center"/>
          </w:tcPr>
          <w:p w14:paraId="452E8B27">
            <w:pPr>
              <w:spacing w:line="300" w:lineRule="exact"/>
              <w:rPr>
                <w:rFonts w:cs="宋体"/>
              </w:rPr>
            </w:pPr>
            <w:r>
              <w:rPr>
                <w:rFonts w:hint="eastAsia"/>
              </w:rPr>
              <w:t>承诺</w:t>
            </w:r>
            <w:r>
              <w:rPr>
                <w:rFonts w:hint="eastAsia"/>
                <w:lang w:val="en-US" w:eastAsia="zh-CN"/>
              </w:rPr>
              <w:t>1</w:t>
            </w:r>
            <w:r>
              <w:rPr>
                <w:rFonts w:hint="eastAsia"/>
              </w:rPr>
              <w:t>年免费质保期为基本的资格条件</w:t>
            </w:r>
            <w:r>
              <w:rPr>
                <w:rFonts w:hint="eastAsia"/>
                <w:lang w:eastAsia="zh-CN"/>
              </w:rPr>
              <w:t>（质保期内免费退换货）</w:t>
            </w:r>
            <w:r>
              <w:rPr>
                <w:rFonts w:hint="eastAsia"/>
              </w:rPr>
              <w:t>，在此基础上每增加一年得</w:t>
            </w:r>
            <w:r>
              <w:rPr>
                <w:rFonts w:hint="eastAsia"/>
                <w:lang w:val="en-US" w:eastAsia="zh-CN"/>
              </w:rPr>
              <w:t>1</w:t>
            </w:r>
            <w:r>
              <w:rPr>
                <w:rFonts w:hint="eastAsia"/>
              </w:rPr>
              <w:t>分，不增加不得分。</w:t>
            </w:r>
          </w:p>
        </w:tc>
        <w:tc>
          <w:tcPr>
            <w:tcW w:w="997" w:type="dxa"/>
            <w:noWrap w:val="0"/>
            <w:vAlign w:val="center"/>
          </w:tcPr>
          <w:p w14:paraId="3DAAC597">
            <w:pPr>
              <w:spacing w:line="30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exact"/>
        </w:trPr>
        <w:tc>
          <w:tcPr>
            <w:tcW w:w="738" w:type="dxa"/>
            <w:noWrap w:val="0"/>
            <w:vAlign w:val="center"/>
          </w:tcPr>
          <w:p w14:paraId="32182D57">
            <w:pPr>
              <w:pStyle w:val="2"/>
              <w:spacing w:line="300" w:lineRule="exact"/>
              <w:ind w:firstLine="207" w:firstLineChars="98"/>
              <w:rPr>
                <w:b/>
                <w:bCs/>
                <w:lang w:val="en-US" w:eastAsia="zh-CN"/>
              </w:rPr>
            </w:pPr>
            <w:r>
              <w:rPr>
                <w:b/>
                <w:bCs/>
                <w:lang w:val="en-US" w:eastAsia="zh-CN"/>
              </w:rPr>
              <w:t>4</w:t>
            </w:r>
          </w:p>
        </w:tc>
        <w:tc>
          <w:tcPr>
            <w:tcW w:w="1511" w:type="dxa"/>
            <w:noWrap w:val="0"/>
            <w:vAlign w:val="top"/>
          </w:tcPr>
          <w:p w14:paraId="3FD6A641">
            <w:pPr>
              <w:pStyle w:val="2"/>
              <w:spacing w:line="300" w:lineRule="exact"/>
              <w:jc w:val="center"/>
              <w:rPr>
                <w:b/>
                <w:bCs/>
                <w:lang w:val="en-US" w:eastAsia="zh-CN"/>
              </w:rPr>
            </w:pPr>
          </w:p>
          <w:p w14:paraId="3B117121">
            <w:pPr>
              <w:pStyle w:val="2"/>
              <w:spacing w:line="300" w:lineRule="exact"/>
              <w:jc w:val="center"/>
              <w:rPr>
                <w:b/>
                <w:bCs/>
                <w:lang w:val="en-US" w:eastAsia="zh-CN"/>
              </w:rPr>
            </w:pPr>
            <w:r>
              <w:rPr>
                <w:rFonts w:hint="eastAsia"/>
                <w:b/>
                <w:bCs/>
                <w:lang w:val="en-US" w:eastAsia="zh-CN"/>
              </w:rPr>
              <w:t>企业实力及业绩情况</w:t>
            </w:r>
          </w:p>
        </w:tc>
        <w:tc>
          <w:tcPr>
            <w:tcW w:w="750" w:type="dxa"/>
            <w:noWrap w:val="0"/>
            <w:vAlign w:val="center"/>
          </w:tcPr>
          <w:p w14:paraId="10E13816">
            <w:pPr>
              <w:spacing w:line="300" w:lineRule="exact"/>
              <w:jc w:val="center"/>
            </w:pPr>
            <w:r>
              <w:t>3</w:t>
            </w:r>
            <w:r>
              <w:rPr>
                <w:rFonts w:hint="eastAsia"/>
              </w:rPr>
              <w:t>分</w:t>
            </w:r>
          </w:p>
        </w:tc>
        <w:tc>
          <w:tcPr>
            <w:tcW w:w="11015" w:type="dxa"/>
            <w:noWrap w:val="0"/>
            <w:vAlign w:val="center"/>
          </w:tcPr>
          <w:p w14:paraId="3BCA571B">
            <w:pPr>
              <w:spacing w:line="300" w:lineRule="exact"/>
              <w:rPr>
                <w:shd w:val="clear" w:color="auto" w:fill="FFFFFF"/>
              </w:rPr>
            </w:pPr>
            <w:r>
              <w:rPr>
                <w:rFonts w:hint="eastAsia"/>
                <w:shd w:val="clear" w:color="auto" w:fill="FFFFFF"/>
              </w:rPr>
              <w:t>依据各</w:t>
            </w:r>
            <w:r>
              <w:rPr>
                <w:rFonts w:hint="eastAsia"/>
                <w:shd w:val="clear" w:color="auto" w:fill="FFFFFF"/>
                <w:lang w:eastAsia="zh-CN"/>
              </w:rPr>
              <w:t>参选</w:t>
            </w:r>
            <w:r>
              <w:rPr>
                <w:rFonts w:hint="eastAsia"/>
                <w:bCs/>
              </w:rPr>
              <w:t>人业绩情况对比</w:t>
            </w:r>
            <w:r>
              <w:rPr>
                <w:rFonts w:hint="eastAsia"/>
                <w:shd w:val="clear" w:color="auto" w:fill="FFFFFF"/>
              </w:rPr>
              <w:t>进行评审。</w:t>
            </w:r>
          </w:p>
          <w:p w14:paraId="1FC0F94C">
            <w:pPr>
              <w:spacing w:line="300" w:lineRule="exact"/>
              <w:rPr>
                <w:rFonts w:hint="eastAsia" w:eastAsiaTheme="minorEastAsia"/>
                <w:lang w:eastAsia="zh-CN"/>
              </w:rPr>
            </w:pPr>
            <w:r>
              <w:rPr>
                <w:rFonts w:hint="eastAsia" w:cs="宋体"/>
                <w:lang w:val="en-US" w:eastAsia="zh-CN"/>
              </w:rPr>
              <w:t>1</w:t>
            </w:r>
            <w:r>
              <w:rPr>
                <w:rFonts w:cs="宋体"/>
              </w:rPr>
              <w:t>.</w:t>
            </w:r>
            <w:r>
              <w:rPr>
                <w:rFonts w:hint="eastAsia"/>
              </w:rPr>
              <w:t>根据近三年内</w:t>
            </w:r>
            <w:r>
              <w:rPr>
                <w:rFonts w:hint="eastAsia"/>
                <w:lang w:eastAsia="zh-CN"/>
              </w:rPr>
              <w:t>参选企业</w:t>
            </w:r>
            <w:r>
              <w:rPr>
                <w:rFonts w:hint="eastAsia"/>
              </w:rPr>
              <w:t>的中标通知书及购销合同进行打分</w:t>
            </w:r>
            <w:r>
              <w:t>,</w:t>
            </w:r>
            <w:r>
              <w:rPr>
                <w:rFonts w:hint="eastAsia"/>
              </w:rPr>
              <w:t>每提供</w:t>
            </w:r>
            <w:r>
              <w:t>1</w:t>
            </w:r>
            <w:r>
              <w:rPr>
                <w:rFonts w:hint="eastAsia"/>
              </w:rPr>
              <w:t>份中标通知书</w:t>
            </w:r>
            <w:r>
              <w:rPr>
                <w:rFonts w:hint="eastAsia"/>
                <w:lang w:eastAsia="zh-CN"/>
              </w:rPr>
              <w:t>或</w:t>
            </w:r>
            <w:r>
              <w:rPr>
                <w:rFonts w:hint="eastAsia"/>
              </w:rPr>
              <w:t>购销合同得</w:t>
            </w:r>
            <w:r>
              <w:t>1</w:t>
            </w:r>
            <w:r>
              <w:rPr>
                <w:rFonts w:hint="eastAsia"/>
              </w:rPr>
              <w:t>分，最高得</w:t>
            </w:r>
            <w:r>
              <w:t>3</w:t>
            </w:r>
            <w:r>
              <w:rPr>
                <w:rFonts w:hint="eastAsia"/>
              </w:rPr>
              <w:t>分。</w:t>
            </w:r>
            <w:r>
              <w:rPr>
                <w:rFonts w:hint="eastAsia" w:cs="宋体"/>
              </w:rPr>
              <w:t>不提供不得分</w:t>
            </w:r>
            <w:r>
              <w:rPr>
                <w:rFonts w:hint="eastAsia"/>
              </w:rPr>
              <w:t>（</w:t>
            </w:r>
            <w:r>
              <w:rPr>
                <w:rFonts w:hint="eastAsia"/>
                <w:bCs/>
              </w:rPr>
              <w:t>提供中标通知书及合同复印件，加盖</w:t>
            </w:r>
            <w:r>
              <w:rPr>
                <w:rFonts w:hint="eastAsia"/>
                <w:bCs/>
                <w:lang w:eastAsia="zh-CN"/>
              </w:rPr>
              <w:t>参选</w:t>
            </w:r>
            <w:r>
              <w:rPr>
                <w:rFonts w:hint="eastAsia"/>
                <w:bCs/>
              </w:rPr>
              <w:t>单位公章，</w:t>
            </w:r>
            <w:r>
              <w:rPr>
                <w:rFonts w:hint="eastAsia"/>
              </w:rPr>
              <w:t>原件备查</w:t>
            </w:r>
            <w:r>
              <w:rPr>
                <w:rFonts w:hint="eastAsia" w:cs="宋体"/>
                <w:lang w:val="zh-CN"/>
              </w:rPr>
              <w:t>）。</w:t>
            </w:r>
          </w:p>
        </w:tc>
        <w:tc>
          <w:tcPr>
            <w:tcW w:w="997" w:type="dxa"/>
            <w:noWrap w:val="0"/>
            <w:vAlign w:val="center"/>
          </w:tcPr>
          <w:p w14:paraId="29600913">
            <w:pPr>
              <w:spacing w:line="300" w:lineRule="exact"/>
              <w:rPr>
                <w:rFonts w:cs="宋体"/>
                <w:bCs/>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rPr>
            </w:pPr>
            <w:r>
              <w:rPr>
                <w:rFonts w:hint="eastAsia"/>
                <w:b/>
              </w:rPr>
              <w:t>以上评分条款中涉及的合同、产品彩页等必须真实、有效，</w:t>
            </w:r>
            <w:r>
              <w:rPr>
                <w:rFonts w:hint="eastAsia"/>
                <w:b/>
                <w:lang w:eastAsia="zh-CN"/>
              </w:rPr>
              <w:t>参选</w:t>
            </w:r>
            <w:r>
              <w:rPr>
                <w:rFonts w:hint="eastAsia"/>
                <w:b/>
              </w:rPr>
              <w:t>人需清楚</w:t>
            </w:r>
            <w:r>
              <w:rPr>
                <w:rFonts w:hint="eastAsia"/>
                <w:b/>
                <w:lang w:eastAsia="zh-CN"/>
              </w:rPr>
              <w:t>比选</w:t>
            </w:r>
            <w:r>
              <w:rPr>
                <w:rFonts w:hint="eastAsia"/>
                <w:b/>
              </w:rPr>
              <w:t>文件的要求及有关文件规定。并承诺在本次</w:t>
            </w:r>
            <w:r>
              <w:rPr>
                <w:rFonts w:hint="eastAsia"/>
                <w:b/>
                <w:lang w:eastAsia="zh-CN"/>
              </w:rPr>
              <w:t>参选</w:t>
            </w:r>
            <w:r>
              <w:rPr>
                <w:rFonts w:hint="eastAsia"/>
                <w:b/>
              </w:rPr>
              <w:t>活动中，如有违法、违规、弄虚作假行为，所造成的损失、不良后果及法律责任一律自行承担。</w:t>
            </w:r>
          </w:p>
          <w:p w14:paraId="1D679FA3">
            <w:r>
              <w:rPr>
                <w:rFonts w:hint="eastAsia"/>
                <w:b/>
                <w:lang w:eastAsia="zh-CN"/>
              </w:rPr>
              <w:t>备注：以上所提供的材料必须保证真实可信，如有虚假则取消参选资格并追究相关责任。</w:t>
            </w:r>
          </w:p>
          <w:p w14:paraId="75F57637">
            <w:pPr>
              <w:spacing w:line="300" w:lineRule="exact"/>
              <w:rPr>
                <w:rFonts w:hint="eastAsia"/>
                <w:b/>
              </w:rPr>
            </w:pPr>
          </w:p>
        </w:tc>
        <w:tc>
          <w:tcPr>
            <w:tcW w:w="997" w:type="dxa"/>
            <w:noWrap w:val="0"/>
            <w:vAlign w:val="center"/>
          </w:tcPr>
          <w:p w14:paraId="0690F6C2">
            <w:pPr>
              <w:spacing w:line="300" w:lineRule="exact"/>
              <w:rPr>
                <w:rFonts w:hint="eastAsia"/>
                <w:b/>
              </w:rPr>
            </w:pPr>
          </w:p>
        </w:tc>
      </w:tr>
    </w:tbl>
    <w:p w14:paraId="27917AC5">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1"/>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2"/>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C883E4-E716-4BE0-95DA-683856C4AF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2D355BAD-EF00-4CFC-8EE3-C0DEF5385602}"/>
  </w:font>
  <w:font w:name="方正公文小标宋">
    <w:panose1 w:val="02000500000000000000"/>
    <w:charset w:val="86"/>
    <w:family w:val="auto"/>
    <w:pitch w:val="default"/>
    <w:sig w:usb0="A00002BF" w:usb1="38CF7CFA" w:usb2="00000016" w:usb3="00000000" w:csb0="00040001" w:csb1="00000000"/>
    <w:embedRegular r:id="rId3" w:fontKey="{A0BFB0A1-223F-4244-A0BB-C70FF4774DAC}"/>
  </w:font>
  <w:font w:name="仿宋_GB2312">
    <w:panose1 w:val="02010609030101010101"/>
    <w:charset w:val="86"/>
    <w:family w:val="modern"/>
    <w:pitch w:val="default"/>
    <w:sig w:usb0="00000001" w:usb1="080E0000" w:usb2="00000000" w:usb3="00000000" w:csb0="00040000" w:csb1="00000000"/>
    <w:embedRegular r:id="rId4" w:fontKey="{C8BF2F4E-56AC-4728-B45D-C1FC00217187}"/>
  </w:font>
  <w:font w:name="方正仿宋_GB2312">
    <w:panose1 w:val="02000000000000000000"/>
    <w:charset w:val="86"/>
    <w:family w:val="auto"/>
    <w:pitch w:val="default"/>
    <w:sig w:usb0="A00002BF" w:usb1="184F6CFA" w:usb2="00000012" w:usb3="00000000" w:csb0="00040001" w:csb1="00000000"/>
    <w:embedRegular r:id="rId5" w:fontKey="{7A967D7A-5779-413F-B332-26210222D50C}"/>
  </w:font>
  <w:font w:name="仿宋">
    <w:panose1 w:val="02010609060101010101"/>
    <w:charset w:val="86"/>
    <w:family w:val="auto"/>
    <w:pitch w:val="default"/>
    <w:sig w:usb0="800002BF" w:usb1="38CF7CFA" w:usb2="00000016" w:usb3="00000000" w:csb0="00040001" w:csb1="00000000"/>
    <w:embedRegular r:id="rId6" w:fontKey="{0540C0E9-B980-4490-AD80-19644278E7E6}"/>
  </w:font>
  <w:font w:name="方正小标宋简体">
    <w:panose1 w:val="03000509000000000000"/>
    <w:charset w:val="86"/>
    <w:family w:val="auto"/>
    <w:pitch w:val="default"/>
    <w:sig w:usb0="00000001" w:usb1="080E0000" w:usb2="00000000" w:usb3="00000000" w:csb0="00040000" w:csb1="00000000"/>
    <w:embedRegular r:id="rId7" w:fontKey="{F1B8633B-3813-4D35-8185-015C47B5B915}"/>
  </w:font>
  <w:font w:name="楷体">
    <w:panose1 w:val="02010609060101010101"/>
    <w:charset w:val="86"/>
    <w:family w:val="modern"/>
    <w:pitch w:val="default"/>
    <w:sig w:usb0="800002BF" w:usb1="38CF7CFA" w:usb2="00000016" w:usb3="00000000" w:csb0="00040001" w:csb1="00000000"/>
    <w:embedRegular r:id="rId8" w:fontKey="{41EC6CD0-E5DC-439F-88E2-AE9DE468E0C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9F607E8"/>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D131C89"/>
    <w:rsid w:val="5F67483F"/>
    <w:rsid w:val="5FE86FDF"/>
    <w:rsid w:val="60621B53"/>
    <w:rsid w:val="60D64762"/>
    <w:rsid w:val="61173CD8"/>
    <w:rsid w:val="648F17F0"/>
    <w:rsid w:val="65B754E7"/>
    <w:rsid w:val="65DD0872"/>
    <w:rsid w:val="65F063C1"/>
    <w:rsid w:val="66236FA2"/>
    <w:rsid w:val="662D69CA"/>
    <w:rsid w:val="663C7C5F"/>
    <w:rsid w:val="68EB7DCE"/>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5523</Words>
  <Characters>5786</Characters>
  <Lines>0</Lines>
  <Paragraphs>0</Paragraphs>
  <TotalTime>5</TotalTime>
  <ScaleCrop>false</ScaleCrop>
  <LinksUpToDate>false</LinksUpToDate>
  <CharactersWithSpaces>6720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2025-04-08T06:53:04Z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