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0B287">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普定县中医医院院内比选公告</w:t>
      </w:r>
    </w:p>
    <w:p w14:paraId="23F7CA0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p>
    <w:p w14:paraId="6843C21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根据医院发展需要，为满足产科诊疗需求，结合医院实际情况，现决定以院内比选方式采购一批医疗设备，欢迎符合资质的公司参加比选，现将比选有关事项公告如下：</w:t>
      </w:r>
    </w:p>
    <w:p w14:paraId="201EFD0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黑体" w:hAnsi="黑体" w:eastAsia="黑体" w:cs="黑体"/>
          <w:b/>
          <w:bCs/>
          <w:sz w:val="32"/>
          <w:szCs w:val="32"/>
          <w:lang w:eastAsia="zh-CN"/>
        </w:rPr>
        <w:t>一、项目名称：</w:t>
      </w:r>
      <w:r>
        <w:rPr>
          <w:rFonts w:hint="eastAsia" w:ascii="方正仿宋_GB2312" w:hAnsi="方正仿宋_GB2312" w:eastAsia="方正仿宋_GB2312" w:cs="方正仿宋_GB2312"/>
          <w:sz w:val="32"/>
          <w:szCs w:val="32"/>
          <w:lang w:eastAsia="zh-CN"/>
        </w:rPr>
        <w:t>普定县中医医院产科设备采购项目</w:t>
      </w:r>
    </w:p>
    <w:p w14:paraId="2F78CE4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ZY20260006</w:t>
      </w:r>
    </w:p>
    <w:p w14:paraId="6FF37DD8">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sz w:val="32"/>
          <w:szCs w:val="32"/>
          <w:lang w:eastAsia="zh-CN"/>
        </w:rPr>
      </w:pPr>
      <w:r>
        <w:rPr>
          <w:rFonts w:hint="eastAsia" w:ascii="黑体" w:hAnsi="黑体" w:eastAsia="黑体" w:cs="黑体"/>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bookmarkStart w:id="2" w:name="_GoBack"/>
      <w:bookmarkEnd w:id="2"/>
    </w:p>
    <w:p w14:paraId="12DEE135">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黑体" w:hAnsi="黑体" w:eastAsia="黑体" w:cs="黑体"/>
          <w:b/>
          <w:bCs/>
          <w:sz w:val="32"/>
          <w:szCs w:val="32"/>
          <w:lang w:eastAsia="zh-CN"/>
        </w:rPr>
        <w:t>四、参选人条件：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r>
        <w:rPr>
          <w:rFonts w:hint="eastAsia" w:ascii="仿宋" w:hAnsi="仿宋" w:eastAsia="仿宋" w:cs="仿宋"/>
          <w:sz w:val="32"/>
          <w:szCs w:val="32"/>
          <w:lang w:eastAsia="zh-CN"/>
        </w:rPr>
        <w:t>。</w:t>
      </w:r>
    </w:p>
    <w:p w14:paraId="2ADD84E0">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b/>
          <w:bCs/>
          <w:sz w:val="32"/>
          <w:szCs w:val="32"/>
          <w:lang w:eastAsia="zh-CN"/>
        </w:rPr>
        <w:t>五、公示时间及报名地点：</w:t>
      </w:r>
      <w:r>
        <w:rPr>
          <w:rFonts w:hint="eastAsia" w:ascii="仿宋" w:hAnsi="仿宋" w:eastAsia="仿宋" w:cs="仿宋"/>
          <w:sz w:val="32"/>
          <w:szCs w:val="32"/>
          <w:lang w:val="en-US" w:eastAsia="zh-CN"/>
        </w:rPr>
        <w:t>2026年2</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25</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2026</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；请符合资质要求、有意参选的公司法定代表人或委托代理人在公示期内（正常上班时间）到普定县中医医院招采办（普定县中医医院后勤楼二楼）报名，报名时提供比选文件预审核。</w:t>
      </w:r>
    </w:p>
    <w:p w14:paraId="1A33BF71">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lang w:eastAsia="zh-CN"/>
        </w:rPr>
      </w:pPr>
      <w:r>
        <w:rPr>
          <w:rFonts w:hint="eastAsia" w:ascii="黑体" w:hAnsi="黑体" w:eastAsia="黑体" w:cs="黑体"/>
          <w:b/>
          <w:bCs/>
          <w:sz w:val="32"/>
          <w:szCs w:val="32"/>
          <w:lang w:val="en-US" w:eastAsia="zh-CN"/>
        </w:rPr>
        <w:t>六</w:t>
      </w: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比选时间：</w:t>
      </w:r>
      <w:r>
        <w:rPr>
          <w:rFonts w:hint="eastAsia" w:ascii="仿宋" w:hAnsi="仿宋" w:eastAsia="仿宋" w:cs="仿宋"/>
          <w:sz w:val="32"/>
          <w:szCs w:val="32"/>
          <w:lang w:val="en-US" w:eastAsia="zh-CN"/>
        </w:rPr>
        <w:t>拟2026年3月6日下午14:30，如有变动，另行通知。</w:t>
      </w:r>
    </w:p>
    <w:p w14:paraId="756F007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3EA37A73">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2.采购清单及产品</w:t>
      </w:r>
      <w:r>
        <w:rPr>
          <w:rFonts w:hint="eastAsia" w:ascii="仿宋" w:hAnsi="仿宋" w:eastAsia="仿宋" w:cs="仿宋"/>
          <w:sz w:val="32"/>
          <w:szCs w:val="32"/>
          <w:lang w:eastAsia="zh-CN"/>
        </w:rPr>
        <w:t>参数</w:t>
      </w:r>
    </w:p>
    <w:p w14:paraId="7FE8E57B">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56B97B2F">
      <w:pPr>
        <w:pStyle w:val="5"/>
        <w:keepNext w:val="0"/>
        <w:keepLines w:val="0"/>
        <w:pageBreakBefore w:val="0"/>
        <w:kinsoku/>
        <w:wordWrap/>
        <w:overflowPunct/>
        <w:topLinePunct w:val="0"/>
        <w:bidi w:val="0"/>
        <w:snapToGrid/>
        <w:spacing w:line="560" w:lineRule="exact"/>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4E6975F4">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 w:hAnsi="仿宋" w:eastAsia="仿宋" w:cs="仿宋"/>
          <w:sz w:val="32"/>
          <w:szCs w:val="32"/>
          <w:lang w:val="en-US" w:eastAsia="zh-CN"/>
        </w:rPr>
      </w:pPr>
    </w:p>
    <w:p w14:paraId="6B2F34BB">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 w:hAnsi="仿宋" w:eastAsia="仿宋" w:cs="仿宋"/>
          <w:sz w:val="32"/>
          <w:szCs w:val="32"/>
          <w:lang w:val="en-US" w:eastAsia="zh-CN"/>
        </w:rPr>
        <w:t>（联系人及电话：</w:t>
      </w:r>
      <w:r>
        <w:rPr>
          <w:rFonts w:hint="eastAsia" w:ascii="仿宋GB2312" w:hAnsi="仿宋GB2312" w:eastAsia="仿宋GB2312" w:cs="仿宋GB2312"/>
          <w:b w:val="0"/>
          <w:bCs w:val="0"/>
          <w:color w:val="000000"/>
          <w:sz w:val="32"/>
          <w:szCs w:val="32"/>
          <w:lang w:eastAsia="zh-CN"/>
        </w:rPr>
        <w:t xml:space="preserve">招采办   </w:t>
      </w:r>
      <w:r>
        <w:rPr>
          <w:rFonts w:hint="eastAsia" w:ascii="仿宋GB2312" w:hAnsi="仿宋GB2312" w:eastAsia="仿宋GB2312" w:cs="仿宋GB2312"/>
          <w:b w:val="0"/>
          <w:bCs w:val="0"/>
          <w:color w:val="000000"/>
          <w:sz w:val="32"/>
          <w:szCs w:val="32"/>
          <w:lang w:val="en-US" w:eastAsia="zh-CN"/>
        </w:rPr>
        <w:t>0851-38223169</w:t>
      </w:r>
    </w:p>
    <w:p w14:paraId="77414756">
      <w:pPr>
        <w:keepNext w:val="0"/>
        <w:keepLines w:val="0"/>
        <w:pageBreakBefore w:val="0"/>
        <w:widowControl/>
        <w:kinsoku/>
        <w:wordWrap/>
        <w:overflowPunct/>
        <w:topLinePunct w:val="0"/>
        <w:autoSpaceDE/>
        <w:autoSpaceDN/>
        <w:bidi w:val="0"/>
        <w:adjustRightInd/>
        <w:snapToGrid/>
        <w:spacing w:line="360" w:lineRule="auto"/>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GB2312" w:hAnsi="仿宋GB2312" w:eastAsia="仿宋GB2312" w:cs="仿宋GB2312"/>
          <w:b w:val="0"/>
          <w:bCs w:val="0"/>
          <w:color w:val="000000"/>
          <w:sz w:val="32"/>
          <w:szCs w:val="32"/>
          <w:lang w:val="en-US" w:eastAsia="zh-CN"/>
        </w:rPr>
        <w:t>纪检室   0851-38229719</w:t>
      </w:r>
      <w:r>
        <w:rPr>
          <w:rFonts w:hint="eastAsia" w:ascii="仿宋" w:hAnsi="仿宋" w:eastAsia="仿宋" w:cs="仿宋"/>
          <w:sz w:val="32"/>
          <w:szCs w:val="32"/>
          <w:lang w:val="en-US" w:eastAsia="zh-CN"/>
        </w:rPr>
        <w:t>）</w:t>
      </w:r>
    </w:p>
    <w:p w14:paraId="2EE728E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70F80F6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013EA4A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2A8411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2EC5015">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075B521">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DBC967B">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737E9D6">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B11E45B">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585FBF0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C245827">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99ADB8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57428EB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846D3DE">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2809CDB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137A969E">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2026年2月25日 </w:t>
      </w:r>
      <w:r>
        <w:rPr>
          <w:rFonts w:hint="eastAsia" w:ascii="仿宋_GB2312" w:hAnsi="仿宋_GB2312" w:eastAsia="仿宋_GB2312" w:cs="仿宋_GB2312"/>
          <w:sz w:val="32"/>
          <w:szCs w:val="32"/>
          <w:lang w:val="en-US" w:eastAsia="zh-CN"/>
        </w:rPr>
        <w:t xml:space="preserve">  </w:t>
      </w:r>
    </w:p>
    <w:p w14:paraId="32E9739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4F6629A2">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920F83E">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0E689DD4">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1A08B31">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5C59F32B">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16A5AB02">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6B50A5">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rPr>
      </w:pPr>
    </w:p>
    <w:p w14:paraId="6BCB565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1DC1525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21C41D16">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041F0834">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14:paraId="4F6EB15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36F6DF0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575F432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w:t>
      </w:r>
      <w:r>
        <w:rPr>
          <w:rFonts w:hint="eastAsia" w:ascii="仿宋" w:hAnsi="仿宋" w:eastAsia="仿宋" w:cs="仿宋"/>
          <w:color w:val="auto"/>
          <w:sz w:val="32"/>
          <w:szCs w:val="32"/>
        </w:rPr>
        <w:t xml:space="preserve"> </w:t>
      </w:r>
    </w:p>
    <w:p w14:paraId="32888BE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10EA4C1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参选产品资质证明材料</w:t>
      </w:r>
    </w:p>
    <w:p w14:paraId="143A72D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技术参数偏离表</w:t>
      </w:r>
    </w:p>
    <w:p w14:paraId="49C943C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3495D3A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2782E4F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6C89424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493236E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w:t>
      </w:r>
      <w:r>
        <w:rPr>
          <w:rFonts w:hint="eastAsia" w:ascii="仿宋" w:hAnsi="仿宋" w:eastAsia="仿宋" w:cs="仿宋"/>
          <w:sz w:val="32"/>
          <w:szCs w:val="32"/>
          <w:lang w:eastAsia="zh-CN"/>
        </w:rPr>
        <w:t>报价</w:t>
      </w:r>
      <w:r>
        <w:rPr>
          <w:rFonts w:hint="eastAsia" w:ascii="仿宋" w:hAnsi="仿宋" w:eastAsia="仿宋" w:cs="仿宋"/>
          <w:sz w:val="32"/>
          <w:szCs w:val="32"/>
        </w:rPr>
        <w:t>应为包括税费、运费等所有费用在内的实际成交价格。</w:t>
      </w:r>
    </w:p>
    <w:p w14:paraId="3D4A68D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比选，参选产品</w:t>
      </w:r>
      <w:r>
        <w:rPr>
          <w:rFonts w:hint="eastAsia" w:ascii="仿宋" w:hAnsi="仿宋" w:eastAsia="仿宋" w:cs="仿宋"/>
          <w:sz w:val="32"/>
          <w:szCs w:val="32"/>
        </w:rPr>
        <w:t>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及</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4.比选文件共三份（必须胶装，正本一份、副本二份）。</w:t>
      </w:r>
      <w:r>
        <w:rPr>
          <w:rFonts w:hint="eastAsia" w:ascii="仿宋" w:hAnsi="仿宋" w:eastAsia="仿宋" w:cs="仿宋"/>
          <w:sz w:val="32"/>
          <w:szCs w:val="32"/>
        </w:rPr>
        <w:t xml:space="preserve"> </w:t>
      </w:r>
    </w:p>
    <w:p w14:paraId="05221E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0961A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43B9E63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5A715A7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14F9371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10C1473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7D29965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r>
        <w:rPr>
          <w:rFonts w:hint="eastAsia" w:ascii="仿宋" w:hAnsi="仿宋" w:eastAsia="仿宋" w:cs="仿宋"/>
          <w:sz w:val="32"/>
          <w:szCs w:val="32"/>
          <w:lang w:eastAsia="zh-CN"/>
        </w:rPr>
        <w:t>。</w:t>
      </w:r>
    </w:p>
    <w:p w14:paraId="49CEADB1">
      <w:pPr>
        <w:keepNext w:val="0"/>
        <w:keepLines w:val="0"/>
        <w:pageBreakBefore w:val="0"/>
        <w:tabs>
          <w:tab w:val="left" w:pos="756"/>
        </w:tabs>
        <w:kinsoku/>
        <w:wordWrap/>
        <w:overflowPunct/>
        <w:topLinePunct w:val="0"/>
        <w:bidi w:val="0"/>
        <w:snapToGrid/>
        <w:spacing w:line="560" w:lineRule="exact"/>
        <w:rPr>
          <w:rFonts w:hint="eastAsia" w:ascii="仿宋" w:hAnsi="仿宋" w:eastAsia="仿宋" w:cs="仿宋"/>
          <w:sz w:val="32"/>
          <w:szCs w:val="32"/>
          <w:lang w:eastAsia="zh-CN"/>
        </w:rPr>
      </w:pPr>
    </w:p>
    <w:p w14:paraId="784DA010">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7671037">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3E8463F6">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4F55BDA8">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2CC3570C">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4C28BAC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14:paraId="5A56B25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621E1FED">
      <w:pPr>
        <w:keepNext w:val="0"/>
        <w:keepLines w:val="0"/>
        <w:pageBreakBefore w:val="0"/>
        <w:kinsoku/>
        <w:wordWrap/>
        <w:overflowPunct/>
        <w:topLinePunct w:val="0"/>
        <w:bidi w:val="0"/>
        <w:snapToGrid/>
        <w:spacing w:before="0" w:line="560" w:lineRule="exact"/>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50B01ABC">
      <w:pPr>
        <w:keepNext w:val="0"/>
        <w:keepLines w:val="0"/>
        <w:pageBreakBefore w:val="0"/>
        <w:numPr>
          <w:ilvl w:val="0"/>
          <w:numId w:val="1"/>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0451C25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本项目评选要素包括：报价及合理性、产品技术质量、供应商售后保障及后期安装、调试及技术培训、历史成交业绩、</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40BB6A81">
      <w:pPr>
        <w:keepNext w:val="0"/>
        <w:keepLines w:val="0"/>
        <w:pageBreakBefore w:val="0"/>
        <w:numPr>
          <w:ilvl w:val="0"/>
          <w:numId w:val="1"/>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65ACFC8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2A7F7599">
      <w:pPr>
        <w:pStyle w:val="5"/>
        <w:keepNext w:val="0"/>
        <w:keepLines w:val="0"/>
        <w:pageBreakBefore w:val="0"/>
        <w:widowControl w:val="0"/>
        <w:numPr>
          <w:ilvl w:val="0"/>
          <w:numId w:val="0"/>
        </w:numPr>
        <w:kinsoku/>
        <w:wordWrap/>
        <w:overflowPunct/>
        <w:topLinePunct w:val="0"/>
        <w:bidi w:val="0"/>
        <w:snapToGrid/>
        <w:spacing w:line="560" w:lineRule="exact"/>
        <w:ind w:firstLine="640" w:firstLineChars="200"/>
        <w:jc w:val="both"/>
        <w:rPr>
          <w:rFonts w:hint="eastAsia" w:ascii="仿宋" w:hAnsi="仿宋" w:eastAsia="仿宋" w:cs="仿宋"/>
          <w:kern w:val="2"/>
          <w:sz w:val="32"/>
          <w:szCs w:val="32"/>
          <w:lang w:val="en-US" w:eastAsia="zh-CN" w:bidi="ar-SA"/>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tbl>
      <w:tblPr>
        <w:tblStyle w:val="8"/>
        <w:tblW w:w="15011"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1"/>
        <w:gridCol w:w="750"/>
        <w:gridCol w:w="9280"/>
        <w:gridCol w:w="1735"/>
        <w:gridCol w:w="997"/>
      </w:tblGrid>
      <w:tr w14:paraId="75BE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738" w:type="dxa"/>
            <w:noWrap w:val="0"/>
            <w:vAlign w:val="center"/>
          </w:tcPr>
          <w:p w14:paraId="296C81E1">
            <w:pPr>
              <w:pStyle w:val="3"/>
              <w:spacing w:line="400" w:lineRule="exact"/>
              <w:jc w:val="center"/>
              <w:rPr>
                <w:b/>
                <w:bCs/>
                <w:color w:val="auto"/>
                <w:sz w:val="24"/>
                <w:szCs w:val="24"/>
                <w:lang w:val="en-US" w:eastAsia="zh-CN"/>
              </w:rPr>
            </w:pPr>
            <w:r>
              <w:rPr>
                <w:rFonts w:hint="eastAsia"/>
                <w:b/>
                <w:bCs/>
                <w:color w:val="auto"/>
                <w:sz w:val="24"/>
                <w:szCs w:val="24"/>
                <w:lang w:val="en-US" w:eastAsia="zh-CN"/>
              </w:rPr>
              <w:t>序号</w:t>
            </w:r>
          </w:p>
        </w:tc>
        <w:tc>
          <w:tcPr>
            <w:tcW w:w="1511" w:type="dxa"/>
            <w:noWrap w:val="0"/>
            <w:vAlign w:val="center"/>
          </w:tcPr>
          <w:p w14:paraId="1DC6E87E">
            <w:pPr>
              <w:pStyle w:val="3"/>
              <w:spacing w:line="400" w:lineRule="exact"/>
              <w:jc w:val="center"/>
              <w:rPr>
                <w:b/>
                <w:bCs/>
                <w:color w:val="auto"/>
                <w:sz w:val="24"/>
                <w:szCs w:val="24"/>
                <w:lang w:val="en-US" w:eastAsia="zh-CN"/>
              </w:rPr>
            </w:pPr>
            <w:r>
              <w:rPr>
                <w:rFonts w:hint="eastAsia"/>
                <w:b/>
                <w:bCs/>
                <w:color w:val="auto"/>
                <w:sz w:val="24"/>
                <w:szCs w:val="24"/>
                <w:lang w:val="en-US" w:eastAsia="zh-CN"/>
              </w:rPr>
              <w:t>评分项目</w:t>
            </w:r>
          </w:p>
        </w:tc>
        <w:tc>
          <w:tcPr>
            <w:tcW w:w="750" w:type="dxa"/>
            <w:noWrap w:val="0"/>
            <w:vAlign w:val="center"/>
          </w:tcPr>
          <w:p w14:paraId="3FC902F2">
            <w:pPr>
              <w:pStyle w:val="3"/>
              <w:spacing w:line="400" w:lineRule="exact"/>
              <w:jc w:val="center"/>
              <w:rPr>
                <w:b/>
                <w:bCs/>
                <w:color w:val="auto"/>
                <w:sz w:val="24"/>
                <w:szCs w:val="24"/>
                <w:lang w:val="en-US" w:eastAsia="zh-CN"/>
              </w:rPr>
            </w:pPr>
            <w:r>
              <w:rPr>
                <w:rFonts w:hint="eastAsia"/>
                <w:b/>
                <w:bCs/>
                <w:color w:val="auto"/>
                <w:sz w:val="24"/>
                <w:szCs w:val="24"/>
                <w:lang w:val="en-US" w:eastAsia="zh-CN"/>
              </w:rPr>
              <w:t>分值</w:t>
            </w:r>
          </w:p>
        </w:tc>
        <w:tc>
          <w:tcPr>
            <w:tcW w:w="11015" w:type="dxa"/>
            <w:gridSpan w:val="2"/>
            <w:noWrap w:val="0"/>
            <w:vAlign w:val="center"/>
          </w:tcPr>
          <w:p w14:paraId="78A38A3F">
            <w:pPr>
              <w:pStyle w:val="3"/>
              <w:spacing w:line="400" w:lineRule="exact"/>
              <w:jc w:val="center"/>
              <w:rPr>
                <w:b/>
                <w:bCs/>
                <w:color w:val="auto"/>
                <w:sz w:val="24"/>
                <w:szCs w:val="24"/>
                <w:lang w:val="en-US" w:eastAsia="zh-CN"/>
              </w:rPr>
            </w:pPr>
            <w:r>
              <w:rPr>
                <w:rFonts w:hint="eastAsia"/>
                <w:b/>
                <w:bCs/>
                <w:color w:val="auto"/>
                <w:sz w:val="24"/>
                <w:szCs w:val="24"/>
                <w:lang w:val="en-US" w:eastAsia="zh-CN"/>
              </w:rPr>
              <w:t>评分依据</w:t>
            </w:r>
          </w:p>
        </w:tc>
        <w:tc>
          <w:tcPr>
            <w:tcW w:w="997" w:type="dxa"/>
            <w:noWrap w:val="0"/>
            <w:vAlign w:val="center"/>
          </w:tcPr>
          <w:p w14:paraId="5240BA37">
            <w:pPr>
              <w:pStyle w:val="3"/>
              <w:spacing w:line="400" w:lineRule="exact"/>
              <w:jc w:val="center"/>
              <w:rPr>
                <w:rFonts w:hint="eastAsia"/>
                <w:b/>
                <w:bCs/>
                <w:color w:val="auto"/>
                <w:sz w:val="24"/>
                <w:szCs w:val="24"/>
                <w:lang w:val="en-US" w:eastAsia="zh-CN"/>
              </w:rPr>
            </w:pPr>
            <w:r>
              <w:rPr>
                <w:rFonts w:hint="eastAsia"/>
                <w:b/>
                <w:bCs/>
                <w:color w:val="auto"/>
                <w:sz w:val="24"/>
                <w:szCs w:val="24"/>
                <w:lang w:val="en-US" w:eastAsia="zh-CN"/>
              </w:rPr>
              <w:t>得分</w:t>
            </w:r>
          </w:p>
        </w:tc>
      </w:tr>
      <w:tr w14:paraId="6888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trPr>
        <w:tc>
          <w:tcPr>
            <w:tcW w:w="738" w:type="dxa"/>
            <w:vMerge w:val="restart"/>
            <w:noWrap w:val="0"/>
            <w:vAlign w:val="center"/>
          </w:tcPr>
          <w:p w14:paraId="7FE053C2">
            <w:pPr>
              <w:pStyle w:val="3"/>
              <w:spacing w:line="300" w:lineRule="exact"/>
              <w:ind w:firstLine="207" w:firstLineChars="98"/>
              <w:rPr>
                <w:b/>
                <w:bCs/>
                <w:color w:val="auto"/>
                <w:lang w:val="en-US" w:eastAsia="zh-CN"/>
              </w:rPr>
            </w:pPr>
            <w:r>
              <w:rPr>
                <w:b/>
                <w:bCs/>
                <w:color w:val="auto"/>
                <w:lang w:val="en-US" w:eastAsia="zh-CN"/>
              </w:rPr>
              <w:t>1</w:t>
            </w:r>
          </w:p>
        </w:tc>
        <w:tc>
          <w:tcPr>
            <w:tcW w:w="1511" w:type="dxa"/>
            <w:vMerge w:val="restart"/>
            <w:noWrap w:val="0"/>
            <w:vAlign w:val="center"/>
          </w:tcPr>
          <w:p w14:paraId="674AFFD8">
            <w:pPr>
              <w:pStyle w:val="3"/>
              <w:spacing w:line="300" w:lineRule="exact"/>
              <w:jc w:val="center"/>
              <w:rPr>
                <w:b/>
                <w:bCs/>
                <w:color w:val="auto"/>
                <w:lang w:val="en-US" w:eastAsia="zh-CN"/>
              </w:rPr>
            </w:pPr>
            <w:r>
              <w:rPr>
                <w:rFonts w:hint="eastAsia"/>
                <w:b/>
                <w:bCs/>
                <w:color w:val="auto"/>
                <w:lang w:val="en-US" w:eastAsia="zh-CN"/>
              </w:rPr>
              <w:t>报价</w:t>
            </w:r>
          </w:p>
        </w:tc>
        <w:tc>
          <w:tcPr>
            <w:tcW w:w="750" w:type="dxa"/>
            <w:noWrap w:val="0"/>
            <w:vAlign w:val="center"/>
          </w:tcPr>
          <w:p w14:paraId="0CBA4B72">
            <w:pPr>
              <w:spacing w:line="300" w:lineRule="exact"/>
              <w:jc w:val="center"/>
              <w:rPr>
                <w:color w:val="auto"/>
              </w:rPr>
            </w:pPr>
            <w:r>
              <w:rPr>
                <w:rFonts w:hint="eastAsia"/>
                <w:color w:val="auto"/>
                <w:lang w:val="en-US" w:eastAsia="zh-CN"/>
              </w:rPr>
              <w:t>30</w:t>
            </w:r>
            <w:r>
              <w:rPr>
                <w:rFonts w:hint="eastAsia"/>
                <w:color w:val="auto"/>
              </w:rPr>
              <w:t>分</w:t>
            </w:r>
          </w:p>
        </w:tc>
        <w:tc>
          <w:tcPr>
            <w:tcW w:w="11015" w:type="dxa"/>
            <w:gridSpan w:val="2"/>
            <w:noWrap w:val="0"/>
            <w:vAlign w:val="center"/>
          </w:tcPr>
          <w:p w14:paraId="63358F98">
            <w:pPr>
              <w:spacing w:line="300" w:lineRule="exact"/>
              <w:rPr>
                <w:rFonts w:hint="eastAsia" w:eastAsiaTheme="minorEastAsia"/>
                <w:color w:val="auto"/>
                <w:lang w:val="en-US" w:eastAsia="zh-CN"/>
              </w:rPr>
            </w:pPr>
            <w:r>
              <w:rPr>
                <w:rFonts w:hint="eastAsia"/>
                <w:iCs/>
                <w:color w:val="auto"/>
              </w:rPr>
              <w:t>报价得分</w:t>
            </w:r>
            <w:r>
              <w:rPr>
                <w:iCs/>
                <w:color w:val="auto"/>
              </w:rPr>
              <w:t>=</w:t>
            </w:r>
            <w:r>
              <w:rPr>
                <w:rFonts w:hint="eastAsia"/>
                <w:iCs/>
                <w:color w:val="auto"/>
              </w:rPr>
              <w:t>〔有效</w:t>
            </w:r>
            <w:r>
              <w:rPr>
                <w:rFonts w:hint="eastAsia"/>
                <w:iCs/>
                <w:color w:val="auto"/>
                <w:lang w:eastAsia="zh-CN"/>
              </w:rPr>
              <w:t>参选</w:t>
            </w:r>
            <w:r>
              <w:rPr>
                <w:rFonts w:hint="eastAsia"/>
                <w:iCs/>
                <w:color w:val="auto"/>
              </w:rPr>
              <w:t>人最低</w:t>
            </w:r>
            <w:r>
              <w:rPr>
                <w:rFonts w:hint="eastAsia"/>
                <w:iCs/>
                <w:color w:val="auto"/>
                <w:lang w:eastAsia="zh-CN"/>
              </w:rPr>
              <w:t>报</w:t>
            </w:r>
            <w:r>
              <w:rPr>
                <w:rFonts w:hint="eastAsia"/>
                <w:iCs/>
                <w:color w:val="auto"/>
              </w:rPr>
              <w:t>价÷本</w:t>
            </w:r>
            <w:r>
              <w:rPr>
                <w:rFonts w:hint="eastAsia"/>
                <w:iCs/>
                <w:color w:val="auto"/>
                <w:lang w:eastAsia="zh-CN"/>
              </w:rPr>
              <w:t>参选</w:t>
            </w:r>
            <w:r>
              <w:rPr>
                <w:rFonts w:hint="eastAsia"/>
                <w:iCs/>
                <w:color w:val="auto"/>
              </w:rPr>
              <w:t>人</w:t>
            </w:r>
            <w:r>
              <w:rPr>
                <w:rFonts w:hint="eastAsia"/>
                <w:iCs/>
                <w:color w:val="auto"/>
                <w:lang w:eastAsia="zh-CN"/>
              </w:rPr>
              <w:t>报</w:t>
            </w:r>
            <w:r>
              <w:rPr>
                <w:rFonts w:hint="eastAsia"/>
                <w:iCs/>
                <w:color w:val="auto"/>
              </w:rPr>
              <w:t>价〕×</w:t>
            </w:r>
            <w:r>
              <w:rPr>
                <w:rFonts w:hint="eastAsia"/>
                <w:iCs/>
                <w:color w:val="auto"/>
                <w:lang w:val="en-US" w:eastAsia="zh-CN"/>
              </w:rPr>
              <w:t>3</w:t>
            </w:r>
            <w:r>
              <w:rPr>
                <w:iCs/>
                <w:color w:val="auto"/>
              </w:rPr>
              <w:t>0</w:t>
            </w:r>
            <w:r>
              <w:rPr>
                <w:rFonts w:hint="eastAsia"/>
                <w:iCs/>
                <w:color w:val="auto"/>
                <w:lang w:eastAsia="zh-CN"/>
              </w:rPr>
              <w:t>（以总报价计算，不单项计算）</w:t>
            </w:r>
          </w:p>
          <w:p w14:paraId="19BFD94A">
            <w:pPr>
              <w:spacing w:line="300" w:lineRule="exact"/>
              <w:rPr>
                <w:iCs/>
                <w:color w:val="auto"/>
              </w:rPr>
            </w:pPr>
            <w:r>
              <w:rPr>
                <w:rFonts w:hint="eastAsia"/>
                <w:b/>
                <w:color w:val="auto"/>
              </w:rPr>
              <w:t>注：监狱企业、残疾人福利性单位视同小型、微型企业，不重复享受政策。</w:t>
            </w:r>
          </w:p>
        </w:tc>
        <w:tc>
          <w:tcPr>
            <w:tcW w:w="997" w:type="dxa"/>
            <w:noWrap w:val="0"/>
            <w:vAlign w:val="center"/>
          </w:tcPr>
          <w:p w14:paraId="1BF44AE1">
            <w:pPr>
              <w:spacing w:line="300" w:lineRule="exact"/>
              <w:rPr>
                <w:rFonts w:hint="eastAsia"/>
                <w:b/>
                <w:color w:val="auto"/>
              </w:rPr>
            </w:pPr>
          </w:p>
        </w:tc>
      </w:tr>
      <w:tr w14:paraId="016B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trPr>
        <w:tc>
          <w:tcPr>
            <w:tcW w:w="738" w:type="dxa"/>
            <w:vMerge w:val="continue"/>
            <w:noWrap w:val="0"/>
            <w:vAlign w:val="center"/>
          </w:tcPr>
          <w:p w14:paraId="3F4D358D">
            <w:pPr>
              <w:pStyle w:val="3"/>
              <w:spacing w:line="300" w:lineRule="exact"/>
              <w:ind w:firstLine="207" w:firstLineChars="98"/>
              <w:rPr>
                <w:b/>
                <w:bCs/>
                <w:color w:val="auto"/>
                <w:lang w:val="en-US" w:eastAsia="zh-CN"/>
              </w:rPr>
            </w:pPr>
          </w:p>
        </w:tc>
        <w:tc>
          <w:tcPr>
            <w:tcW w:w="1511" w:type="dxa"/>
            <w:vMerge w:val="continue"/>
            <w:noWrap w:val="0"/>
            <w:vAlign w:val="center"/>
          </w:tcPr>
          <w:p w14:paraId="589530A8">
            <w:pPr>
              <w:pStyle w:val="3"/>
              <w:spacing w:line="300" w:lineRule="exact"/>
              <w:jc w:val="center"/>
              <w:rPr>
                <w:rFonts w:hint="eastAsia"/>
                <w:b/>
                <w:bCs/>
                <w:color w:val="auto"/>
                <w:lang w:val="en-US" w:eastAsia="zh-CN"/>
              </w:rPr>
            </w:pPr>
          </w:p>
        </w:tc>
        <w:tc>
          <w:tcPr>
            <w:tcW w:w="750" w:type="dxa"/>
            <w:noWrap w:val="0"/>
            <w:vAlign w:val="center"/>
          </w:tcPr>
          <w:p w14:paraId="3E08ACD3">
            <w:pPr>
              <w:spacing w:line="300" w:lineRule="exact"/>
              <w:jc w:val="center"/>
              <w:rPr>
                <w:rFonts w:hint="default"/>
                <w:color w:val="auto"/>
                <w:lang w:val="en-US" w:eastAsia="zh-CN"/>
              </w:rPr>
            </w:pPr>
            <w:r>
              <w:rPr>
                <w:rFonts w:hint="eastAsia"/>
                <w:color w:val="auto"/>
                <w:lang w:val="en-US" w:eastAsia="zh-CN"/>
              </w:rPr>
              <w:t>20分</w:t>
            </w:r>
          </w:p>
        </w:tc>
        <w:tc>
          <w:tcPr>
            <w:tcW w:w="11015" w:type="dxa"/>
            <w:gridSpan w:val="2"/>
            <w:noWrap w:val="0"/>
            <w:vAlign w:val="center"/>
          </w:tcPr>
          <w:p w14:paraId="379FB367">
            <w:pPr>
              <w:spacing w:line="300" w:lineRule="exact"/>
              <w:rPr>
                <w:rFonts w:hint="eastAsia"/>
                <w:color w:val="auto"/>
                <w:lang w:val="en-US" w:eastAsia="zh-CN"/>
              </w:rPr>
            </w:pPr>
            <w:r>
              <w:rPr>
                <w:rFonts w:hint="eastAsia"/>
                <w:color w:val="auto"/>
                <w:lang w:val="en-US" w:eastAsia="zh-CN"/>
              </w:rPr>
              <w:t>接受总货款平均分12个月支付得8分，每增加一个月加1分，以此类推计算总分（最高不超过20分）。</w:t>
            </w:r>
          </w:p>
          <w:p w14:paraId="410E4ECE">
            <w:pPr>
              <w:spacing w:line="300" w:lineRule="exact"/>
              <w:rPr>
                <w:rFonts w:hint="default" w:eastAsiaTheme="minorEastAsia"/>
                <w:b/>
                <w:color w:val="auto"/>
                <w:lang w:val="en-US" w:eastAsia="zh-CN"/>
              </w:rPr>
            </w:pPr>
            <w:r>
              <w:rPr>
                <w:rFonts w:hint="eastAsia"/>
                <w:color w:val="auto"/>
                <w:lang w:val="en-US" w:eastAsia="zh-CN"/>
              </w:rPr>
              <w:t>付款周期低于12个月支付不得分</w:t>
            </w:r>
            <w:r>
              <w:rPr>
                <w:rFonts w:hint="eastAsia"/>
                <w:b/>
                <w:color w:val="auto"/>
              </w:rPr>
              <w:t>。</w:t>
            </w:r>
          </w:p>
        </w:tc>
        <w:tc>
          <w:tcPr>
            <w:tcW w:w="997" w:type="dxa"/>
            <w:noWrap w:val="0"/>
            <w:vAlign w:val="center"/>
          </w:tcPr>
          <w:p w14:paraId="077BEBEF">
            <w:pPr>
              <w:spacing w:line="300" w:lineRule="exact"/>
              <w:rPr>
                <w:rFonts w:hint="eastAsia"/>
                <w:b/>
                <w:color w:val="auto"/>
              </w:rPr>
            </w:pPr>
          </w:p>
        </w:tc>
      </w:tr>
      <w:tr w14:paraId="1A1F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738" w:type="dxa"/>
            <w:noWrap w:val="0"/>
            <w:vAlign w:val="center"/>
          </w:tcPr>
          <w:p w14:paraId="59D9B4AB">
            <w:pPr>
              <w:pStyle w:val="3"/>
              <w:spacing w:line="300" w:lineRule="exact"/>
              <w:ind w:firstLine="207" w:firstLineChars="98"/>
              <w:rPr>
                <w:b/>
                <w:bCs/>
                <w:color w:val="auto"/>
                <w:lang w:val="en-US" w:eastAsia="zh-CN"/>
              </w:rPr>
            </w:pPr>
            <w:r>
              <w:rPr>
                <w:b/>
                <w:bCs/>
                <w:color w:val="auto"/>
                <w:lang w:val="en-US" w:eastAsia="zh-CN"/>
              </w:rPr>
              <w:t>2</w:t>
            </w:r>
          </w:p>
        </w:tc>
        <w:tc>
          <w:tcPr>
            <w:tcW w:w="1511" w:type="dxa"/>
            <w:noWrap w:val="0"/>
            <w:vAlign w:val="center"/>
          </w:tcPr>
          <w:p w14:paraId="263DBC2E">
            <w:pPr>
              <w:pStyle w:val="3"/>
              <w:spacing w:line="300" w:lineRule="exact"/>
              <w:jc w:val="center"/>
              <w:rPr>
                <w:b/>
                <w:bCs/>
                <w:color w:val="auto"/>
                <w:lang w:val="en-US" w:eastAsia="zh-CN"/>
              </w:rPr>
            </w:pPr>
            <w:r>
              <w:rPr>
                <w:rFonts w:hint="eastAsia"/>
                <w:b/>
                <w:color w:val="auto"/>
                <w:lang w:val="en-US" w:eastAsia="zh-CN"/>
              </w:rPr>
              <w:t>技术参数</w:t>
            </w:r>
          </w:p>
        </w:tc>
        <w:tc>
          <w:tcPr>
            <w:tcW w:w="750" w:type="dxa"/>
            <w:noWrap w:val="0"/>
            <w:vAlign w:val="center"/>
          </w:tcPr>
          <w:p w14:paraId="37FF70A4">
            <w:pPr>
              <w:spacing w:line="300" w:lineRule="exact"/>
              <w:jc w:val="center"/>
              <w:rPr>
                <w:color w:val="auto"/>
              </w:rPr>
            </w:pPr>
            <w:r>
              <w:rPr>
                <w:rFonts w:hint="eastAsia"/>
                <w:color w:val="auto"/>
                <w:lang w:val="en-US" w:eastAsia="zh-CN"/>
              </w:rPr>
              <w:t>30</w:t>
            </w:r>
            <w:r>
              <w:rPr>
                <w:rFonts w:hint="eastAsia"/>
                <w:color w:val="auto"/>
              </w:rPr>
              <w:t>分</w:t>
            </w:r>
          </w:p>
        </w:tc>
        <w:tc>
          <w:tcPr>
            <w:tcW w:w="11015" w:type="dxa"/>
            <w:gridSpan w:val="2"/>
            <w:noWrap w:val="0"/>
            <w:vAlign w:val="center"/>
          </w:tcPr>
          <w:p w14:paraId="1166A289">
            <w:pPr>
              <w:spacing w:line="300" w:lineRule="exact"/>
              <w:rPr>
                <w:color w:val="auto"/>
              </w:rPr>
            </w:pPr>
            <w:r>
              <w:rPr>
                <w:rFonts w:hint="eastAsia"/>
                <w:color w:val="auto"/>
              </w:rPr>
              <w:t>依据各</w:t>
            </w:r>
            <w:r>
              <w:rPr>
                <w:rFonts w:hint="eastAsia"/>
                <w:color w:val="auto"/>
                <w:lang w:eastAsia="zh-CN"/>
              </w:rPr>
              <w:t>参选</w:t>
            </w:r>
            <w:r>
              <w:rPr>
                <w:rFonts w:hint="eastAsia"/>
                <w:color w:val="auto"/>
              </w:rPr>
              <w:t>人</w:t>
            </w:r>
            <w:r>
              <w:rPr>
                <w:rFonts w:hint="eastAsia"/>
                <w:color w:val="auto"/>
                <w:lang w:eastAsia="zh-CN"/>
              </w:rPr>
              <w:t>参选</w:t>
            </w:r>
            <w:r>
              <w:rPr>
                <w:rFonts w:hint="eastAsia"/>
                <w:color w:val="auto"/>
              </w:rPr>
              <w:t>产品的主要技术指标、参数及性能等情况，以及与</w:t>
            </w:r>
            <w:r>
              <w:rPr>
                <w:rFonts w:hint="eastAsia"/>
                <w:color w:val="auto"/>
                <w:lang w:eastAsia="zh-CN"/>
              </w:rPr>
              <w:t>参选</w:t>
            </w:r>
            <w:r>
              <w:rPr>
                <w:rFonts w:hint="eastAsia"/>
                <w:color w:val="auto"/>
              </w:rPr>
              <w:t>文件技术要求的偏离程度等进行评审</w:t>
            </w:r>
          </w:p>
          <w:p w14:paraId="30DD8165">
            <w:pPr>
              <w:spacing w:line="300" w:lineRule="exact"/>
              <w:rPr>
                <w:color w:val="auto"/>
              </w:rPr>
            </w:pPr>
            <w:r>
              <w:rPr>
                <w:color w:val="auto"/>
              </w:rPr>
              <w:t xml:space="preserve">1. </w:t>
            </w:r>
            <w:r>
              <w:rPr>
                <w:rFonts w:hint="eastAsia"/>
                <w:color w:val="auto"/>
                <w:lang w:eastAsia="zh-CN"/>
              </w:rPr>
              <w:t>参选</w:t>
            </w:r>
            <w:r>
              <w:rPr>
                <w:rFonts w:hint="eastAsia"/>
                <w:color w:val="auto"/>
              </w:rPr>
              <w:t>产品全部技术参数符合或优于</w:t>
            </w:r>
            <w:r>
              <w:rPr>
                <w:rFonts w:hint="eastAsia"/>
                <w:color w:val="auto"/>
                <w:lang w:eastAsia="zh-CN"/>
              </w:rPr>
              <w:t>比选技术</w:t>
            </w:r>
            <w:r>
              <w:rPr>
                <w:rFonts w:hint="eastAsia"/>
                <w:color w:val="auto"/>
              </w:rPr>
              <w:t>参数，得</w:t>
            </w:r>
            <w:r>
              <w:rPr>
                <w:rFonts w:hint="eastAsia"/>
                <w:color w:val="auto"/>
                <w:lang w:val="en-US" w:eastAsia="zh-CN"/>
              </w:rPr>
              <w:t>30</w:t>
            </w:r>
            <w:r>
              <w:rPr>
                <w:rFonts w:hint="eastAsia"/>
                <w:color w:val="auto"/>
              </w:rPr>
              <w:t>分；</w:t>
            </w:r>
          </w:p>
          <w:p w14:paraId="50E69F1E">
            <w:pPr>
              <w:spacing w:line="300" w:lineRule="exact"/>
              <w:rPr>
                <w:color w:val="auto"/>
              </w:rPr>
            </w:pPr>
            <w:r>
              <w:rPr>
                <w:color w:val="auto"/>
              </w:rPr>
              <w:t>2.</w:t>
            </w:r>
            <w:r>
              <w:rPr>
                <w:rFonts w:hint="eastAsia"/>
                <w:color w:val="auto"/>
              </w:rPr>
              <w:t>技术要求内“</w:t>
            </w:r>
            <w:r>
              <w:rPr>
                <w:rFonts w:hint="eastAsia"/>
                <w:color w:val="auto"/>
                <w:lang w:eastAsia="zh-CN"/>
              </w:rPr>
              <w:t>※</w:t>
            </w:r>
            <w:r>
              <w:rPr>
                <w:rFonts w:hint="eastAsia"/>
                <w:color w:val="auto"/>
              </w:rPr>
              <w:t>”号项为关键指标，负偏离的每项减</w:t>
            </w:r>
            <w:r>
              <w:rPr>
                <w:rFonts w:hint="eastAsia"/>
                <w:color w:val="auto"/>
                <w:lang w:val="en-US" w:eastAsia="zh-CN"/>
              </w:rPr>
              <w:t>3</w:t>
            </w:r>
            <w:r>
              <w:rPr>
                <w:rFonts w:hint="eastAsia"/>
                <w:color w:val="auto"/>
              </w:rPr>
              <w:t>分，扣完为止。</w:t>
            </w:r>
          </w:p>
          <w:p w14:paraId="40B43F81">
            <w:pPr>
              <w:spacing w:line="300" w:lineRule="exact"/>
              <w:rPr>
                <w:rFonts w:cs="宋体"/>
                <w:color w:val="auto"/>
              </w:rPr>
            </w:pPr>
            <w:r>
              <w:rPr>
                <w:rFonts w:hint="eastAsia"/>
                <w:color w:val="auto"/>
              </w:rPr>
              <w:t>3</w:t>
            </w:r>
            <w:r>
              <w:rPr>
                <w:color w:val="auto"/>
              </w:rPr>
              <w:t>.</w:t>
            </w:r>
            <w:r>
              <w:rPr>
                <w:rFonts w:hint="eastAsia"/>
                <w:color w:val="auto"/>
              </w:rPr>
              <w:t>非“</w:t>
            </w:r>
            <w:r>
              <w:rPr>
                <w:rFonts w:hint="eastAsia"/>
                <w:color w:val="auto"/>
                <w:lang w:eastAsia="zh-CN"/>
              </w:rPr>
              <w:t>※</w:t>
            </w:r>
            <w:r>
              <w:rPr>
                <w:rFonts w:hint="eastAsia"/>
                <w:color w:val="auto"/>
              </w:rPr>
              <w:t>”一项技术参数负偏离的每项减</w:t>
            </w:r>
            <w:r>
              <w:rPr>
                <w:rFonts w:hint="eastAsia"/>
                <w:color w:val="auto"/>
                <w:lang w:val="en-US" w:eastAsia="zh-CN"/>
              </w:rPr>
              <w:t>1</w:t>
            </w:r>
            <w:r>
              <w:rPr>
                <w:rFonts w:hint="eastAsia"/>
                <w:color w:val="auto"/>
              </w:rPr>
              <w:t>分，扣完为止。</w:t>
            </w:r>
          </w:p>
          <w:p w14:paraId="01F9D100">
            <w:pPr>
              <w:spacing w:line="300" w:lineRule="exact"/>
              <w:rPr>
                <w:rFonts w:cs="宋体"/>
                <w:color w:val="auto"/>
              </w:rPr>
            </w:pPr>
            <w:r>
              <w:rPr>
                <w:rFonts w:hint="eastAsia" w:cs="宋体"/>
                <w:b/>
                <w:color w:val="auto"/>
              </w:rPr>
              <w:t>注：</w:t>
            </w:r>
            <w:r>
              <w:rPr>
                <w:rFonts w:hint="eastAsia" w:cs="宋体"/>
                <w:b/>
                <w:color w:val="auto"/>
                <w:lang w:eastAsia="zh-CN"/>
              </w:rPr>
              <w:t>参选</w:t>
            </w:r>
            <w:r>
              <w:rPr>
                <w:rFonts w:hint="eastAsia" w:cs="宋体"/>
                <w:b/>
                <w:color w:val="auto"/>
              </w:rPr>
              <w:t>供应商在中</w:t>
            </w:r>
            <w:r>
              <w:rPr>
                <w:rFonts w:hint="eastAsia" w:cs="宋体"/>
                <w:b/>
                <w:color w:val="auto"/>
                <w:lang w:eastAsia="zh-CN"/>
              </w:rPr>
              <w:t>选</w:t>
            </w:r>
            <w:r>
              <w:rPr>
                <w:rFonts w:hint="eastAsia" w:cs="宋体"/>
                <w:b/>
                <w:color w:val="auto"/>
              </w:rPr>
              <w:t>后，提供产品若与本项目</w:t>
            </w:r>
            <w:r>
              <w:rPr>
                <w:rFonts w:hint="eastAsia" w:cs="宋体"/>
                <w:b/>
                <w:color w:val="auto"/>
                <w:lang w:eastAsia="zh-CN"/>
              </w:rPr>
              <w:t>比选</w:t>
            </w:r>
            <w:r>
              <w:rPr>
                <w:rFonts w:hint="eastAsia" w:cs="宋体"/>
                <w:b/>
                <w:color w:val="auto"/>
              </w:rPr>
              <w:t>文件中产品不符或者劣于</w:t>
            </w:r>
            <w:r>
              <w:rPr>
                <w:rFonts w:hint="eastAsia" w:cs="宋体"/>
                <w:b/>
                <w:color w:val="auto"/>
                <w:lang w:eastAsia="zh-CN"/>
              </w:rPr>
              <w:t>参选</w:t>
            </w:r>
            <w:r>
              <w:rPr>
                <w:rFonts w:hint="eastAsia" w:cs="宋体"/>
                <w:b/>
                <w:color w:val="auto"/>
              </w:rPr>
              <w:t>文件中产品性能，将被取消其中</w:t>
            </w:r>
            <w:r>
              <w:rPr>
                <w:rFonts w:hint="eastAsia" w:cs="宋体"/>
                <w:b/>
                <w:color w:val="auto"/>
                <w:lang w:eastAsia="zh-CN"/>
              </w:rPr>
              <w:t>选</w:t>
            </w:r>
            <w:r>
              <w:rPr>
                <w:rFonts w:hint="eastAsia" w:cs="宋体"/>
                <w:b/>
                <w:color w:val="auto"/>
              </w:rPr>
              <w:t>资格，造成严重后果的，追究其相关法律责任。</w:t>
            </w:r>
          </w:p>
        </w:tc>
        <w:tc>
          <w:tcPr>
            <w:tcW w:w="997" w:type="dxa"/>
            <w:noWrap w:val="0"/>
            <w:vAlign w:val="center"/>
          </w:tcPr>
          <w:p w14:paraId="6AD86F32">
            <w:pPr>
              <w:spacing w:line="300" w:lineRule="exact"/>
              <w:rPr>
                <w:rFonts w:hint="eastAsia" w:cs="宋体"/>
                <w:b/>
                <w:color w:val="auto"/>
              </w:rPr>
            </w:pPr>
          </w:p>
        </w:tc>
      </w:tr>
      <w:tr w14:paraId="2CC6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738" w:type="dxa"/>
            <w:noWrap w:val="0"/>
            <w:vAlign w:val="center"/>
          </w:tcPr>
          <w:p w14:paraId="07F0C3AF">
            <w:pPr>
              <w:pStyle w:val="3"/>
              <w:spacing w:line="300" w:lineRule="exact"/>
              <w:ind w:firstLine="207" w:firstLineChars="98"/>
              <w:rPr>
                <w:b/>
                <w:bCs/>
                <w:color w:val="auto"/>
                <w:lang w:val="en-US" w:eastAsia="zh-CN"/>
              </w:rPr>
            </w:pPr>
            <w:r>
              <w:rPr>
                <w:b/>
                <w:bCs/>
                <w:color w:val="auto"/>
                <w:lang w:val="en-US" w:eastAsia="zh-CN"/>
              </w:rPr>
              <w:t>3</w:t>
            </w:r>
          </w:p>
        </w:tc>
        <w:tc>
          <w:tcPr>
            <w:tcW w:w="1511" w:type="dxa"/>
            <w:noWrap w:val="0"/>
            <w:vAlign w:val="center"/>
          </w:tcPr>
          <w:p w14:paraId="79266B7B">
            <w:pPr>
              <w:pStyle w:val="3"/>
              <w:spacing w:line="300" w:lineRule="exact"/>
              <w:jc w:val="center"/>
              <w:rPr>
                <w:rFonts w:cs="宋体"/>
                <w:b/>
                <w:bCs/>
                <w:color w:val="auto"/>
                <w:lang w:val="en-US" w:eastAsia="zh-CN"/>
              </w:rPr>
            </w:pPr>
            <w:r>
              <w:rPr>
                <w:rFonts w:hint="eastAsia" w:cs="宋体"/>
                <w:b/>
                <w:bCs/>
                <w:color w:val="auto"/>
                <w:lang w:val="en-US" w:eastAsia="zh-CN"/>
              </w:rPr>
              <w:t>售后承诺</w:t>
            </w:r>
          </w:p>
        </w:tc>
        <w:tc>
          <w:tcPr>
            <w:tcW w:w="750" w:type="dxa"/>
            <w:noWrap w:val="0"/>
            <w:vAlign w:val="center"/>
          </w:tcPr>
          <w:p w14:paraId="161BAFED">
            <w:pPr>
              <w:spacing w:line="300" w:lineRule="exact"/>
              <w:jc w:val="center"/>
              <w:rPr>
                <w:rFonts w:cs="宋体"/>
                <w:color w:val="auto"/>
              </w:rPr>
            </w:pPr>
            <w:r>
              <w:rPr>
                <w:rFonts w:hint="eastAsia" w:cs="宋体"/>
                <w:color w:val="auto"/>
                <w:lang w:val="en-US" w:eastAsia="zh-CN"/>
              </w:rPr>
              <w:t>8</w:t>
            </w:r>
            <w:r>
              <w:rPr>
                <w:rFonts w:hint="eastAsia" w:cs="宋体"/>
                <w:color w:val="auto"/>
              </w:rPr>
              <w:t>分</w:t>
            </w:r>
          </w:p>
        </w:tc>
        <w:tc>
          <w:tcPr>
            <w:tcW w:w="11015" w:type="dxa"/>
            <w:gridSpan w:val="2"/>
            <w:noWrap w:val="0"/>
            <w:vAlign w:val="center"/>
          </w:tcPr>
          <w:p w14:paraId="452E8B27">
            <w:pPr>
              <w:spacing w:line="300" w:lineRule="exact"/>
              <w:rPr>
                <w:rFonts w:cs="宋体"/>
                <w:color w:val="auto"/>
              </w:rPr>
            </w:pPr>
            <w:r>
              <w:rPr>
                <w:rFonts w:hint="eastAsia"/>
                <w:color w:val="auto"/>
              </w:rPr>
              <w:t>承诺</w:t>
            </w:r>
            <w:r>
              <w:rPr>
                <w:rFonts w:hint="eastAsia"/>
                <w:color w:val="auto"/>
                <w:lang w:val="en-US" w:eastAsia="zh-CN"/>
              </w:rPr>
              <w:t>1</w:t>
            </w:r>
            <w:r>
              <w:rPr>
                <w:rFonts w:hint="eastAsia"/>
                <w:color w:val="auto"/>
              </w:rPr>
              <w:t>年免费质保期为基本的资格条件，在此基础上每增加一年得</w:t>
            </w:r>
            <w:r>
              <w:rPr>
                <w:rFonts w:hint="eastAsia"/>
                <w:color w:val="auto"/>
                <w:lang w:val="en-US" w:eastAsia="zh-CN"/>
              </w:rPr>
              <w:t>2</w:t>
            </w:r>
            <w:r>
              <w:rPr>
                <w:rFonts w:hint="eastAsia"/>
                <w:color w:val="auto"/>
              </w:rPr>
              <w:t>分，不增加不得分。</w:t>
            </w:r>
          </w:p>
        </w:tc>
        <w:tc>
          <w:tcPr>
            <w:tcW w:w="997" w:type="dxa"/>
            <w:noWrap w:val="0"/>
            <w:vAlign w:val="center"/>
          </w:tcPr>
          <w:p w14:paraId="3DAAC597">
            <w:pPr>
              <w:spacing w:line="300" w:lineRule="exact"/>
              <w:rPr>
                <w:rFonts w:hint="eastAsia" w:cs="宋体"/>
                <w:color w:val="auto"/>
                <w:lang w:val="zh-CN"/>
              </w:rPr>
            </w:pPr>
          </w:p>
        </w:tc>
      </w:tr>
      <w:tr w14:paraId="05F2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exact"/>
        </w:trPr>
        <w:tc>
          <w:tcPr>
            <w:tcW w:w="738" w:type="dxa"/>
            <w:noWrap w:val="0"/>
            <w:vAlign w:val="center"/>
          </w:tcPr>
          <w:p w14:paraId="32182D57">
            <w:pPr>
              <w:pStyle w:val="3"/>
              <w:spacing w:line="300" w:lineRule="exact"/>
              <w:ind w:firstLine="207" w:firstLineChars="98"/>
              <w:rPr>
                <w:b/>
                <w:bCs/>
                <w:color w:val="auto"/>
                <w:lang w:val="en-US" w:eastAsia="zh-CN"/>
              </w:rPr>
            </w:pPr>
            <w:r>
              <w:rPr>
                <w:b/>
                <w:bCs/>
                <w:color w:val="auto"/>
                <w:lang w:val="en-US" w:eastAsia="zh-CN"/>
              </w:rPr>
              <w:t>4</w:t>
            </w:r>
          </w:p>
        </w:tc>
        <w:tc>
          <w:tcPr>
            <w:tcW w:w="1511" w:type="dxa"/>
            <w:noWrap w:val="0"/>
            <w:vAlign w:val="center"/>
          </w:tcPr>
          <w:p w14:paraId="6BB93241">
            <w:pPr>
              <w:pStyle w:val="3"/>
              <w:spacing w:line="300" w:lineRule="exact"/>
              <w:jc w:val="center"/>
              <w:rPr>
                <w:rFonts w:hint="eastAsia" w:cs="宋体"/>
                <w:b/>
                <w:bCs/>
                <w:color w:val="auto"/>
                <w:lang w:val="en-US" w:eastAsia="zh-CN"/>
              </w:rPr>
            </w:pPr>
            <w:r>
              <w:rPr>
                <w:rFonts w:hint="eastAsia" w:cs="宋体"/>
                <w:b/>
                <w:bCs/>
                <w:color w:val="auto"/>
                <w:lang w:val="en-US" w:eastAsia="zh-CN"/>
              </w:rPr>
              <w:t>维修响应</w:t>
            </w:r>
          </w:p>
          <w:p w14:paraId="3B117121">
            <w:pPr>
              <w:pStyle w:val="3"/>
              <w:spacing w:line="300" w:lineRule="exact"/>
              <w:jc w:val="center"/>
              <w:rPr>
                <w:b/>
                <w:bCs/>
                <w:color w:val="auto"/>
                <w:lang w:val="en-US" w:eastAsia="zh-CN"/>
              </w:rPr>
            </w:pPr>
            <w:r>
              <w:rPr>
                <w:rFonts w:hint="eastAsia" w:cs="宋体"/>
                <w:b/>
                <w:bCs/>
                <w:color w:val="auto"/>
                <w:lang w:val="en-US" w:eastAsia="zh-CN"/>
              </w:rPr>
              <w:t>时间评价</w:t>
            </w:r>
          </w:p>
        </w:tc>
        <w:tc>
          <w:tcPr>
            <w:tcW w:w="750" w:type="dxa"/>
            <w:noWrap w:val="0"/>
            <w:vAlign w:val="center"/>
          </w:tcPr>
          <w:p w14:paraId="10E13816">
            <w:pPr>
              <w:spacing w:line="300" w:lineRule="exact"/>
              <w:jc w:val="center"/>
              <w:rPr>
                <w:rFonts w:hint="eastAsia" w:eastAsiaTheme="minorEastAsia"/>
                <w:color w:val="auto"/>
                <w:lang w:val="en-US" w:eastAsia="zh-CN"/>
              </w:rPr>
            </w:pPr>
            <w:r>
              <w:rPr>
                <w:rFonts w:hint="eastAsia"/>
                <w:color w:val="auto"/>
                <w:lang w:val="en-US" w:eastAsia="zh-CN"/>
              </w:rPr>
              <w:t>4分</w:t>
            </w:r>
          </w:p>
        </w:tc>
        <w:tc>
          <w:tcPr>
            <w:tcW w:w="11015" w:type="dxa"/>
            <w:gridSpan w:val="2"/>
            <w:noWrap w:val="0"/>
            <w:vAlign w:val="center"/>
          </w:tcPr>
          <w:p w14:paraId="2A928AC5">
            <w:pPr>
              <w:spacing w:line="300" w:lineRule="exact"/>
              <w:jc w:val="left"/>
              <w:rPr>
                <w:rFonts w:ascii="宋体" w:hAnsi="宋体" w:eastAsia="宋体"/>
                <w:color w:val="auto"/>
                <w:szCs w:val="21"/>
              </w:rPr>
            </w:pPr>
            <w:r>
              <w:rPr>
                <w:rFonts w:hint="eastAsia" w:ascii="宋体" w:hAnsi="宋体" w:eastAsia="宋体"/>
                <w:color w:val="auto"/>
                <w:szCs w:val="21"/>
                <w:lang w:eastAsia="zh-CN"/>
              </w:rPr>
              <w:t>承诺有专业厂家工程师负责维修事宜（提供姓名及联系电话），承诺维修期间有备用设备使用。</w:t>
            </w:r>
            <w:r>
              <w:rPr>
                <w:rFonts w:hint="eastAsia" w:ascii="宋体" w:hAnsi="宋体" w:eastAsia="宋体"/>
                <w:color w:val="auto"/>
                <w:szCs w:val="21"/>
              </w:rPr>
              <w:t>根据</w:t>
            </w:r>
            <w:r>
              <w:rPr>
                <w:rFonts w:hint="eastAsia" w:ascii="宋体" w:hAnsi="宋体" w:eastAsia="宋体"/>
                <w:color w:val="auto"/>
                <w:szCs w:val="21"/>
                <w:lang w:eastAsia="zh-CN"/>
              </w:rPr>
              <w:t>参选人</w:t>
            </w:r>
            <w:r>
              <w:rPr>
                <w:rFonts w:hint="eastAsia" w:ascii="宋体" w:hAnsi="宋体" w:eastAsia="宋体"/>
                <w:color w:val="auto"/>
                <w:szCs w:val="21"/>
              </w:rPr>
              <w:t>对</w:t>
            </w:r>
            <w:r>
              <w:rPr>
                <w:rFonts w:hint="eastAsia" w:ascii="宋体" w:hAnsi="宋体" w:eastAsia="宋体"/>
                <w:color w:val="auto"/>
                <w:szCs w:val="21"/>
                <w:lang w:eastAsia="zh-CN"/>
              </w:rPr>
              <w:t>厂家工程师</w:t>
            </w:r>
            <w:r>
              <w:rPr>
                <w:rFonts w:hint="eastAsia" w:ascii="宋体" w:hAnsi="宋体" w:eastAsia="宋体"/>
                <w:color w:val="auto"/>
                <w:szCs w:val="21"/>
              </w:rPr>
              <w:t>接到维修通知后承诺到达用户现场的时间由短至长的排名进行评价（</w:t>
            </w:r>
            <w:r>
              <w:rPr>
                <w:rFonts w:hint="eastAsia" w:ascii="宋体" w:hAnsi="宋体" w:eastAsia="宋体"/>
                <w:color w:val="auto"/>
                <w:szCs w:val="21"/>
                <w:lang w:eastAsia="zh-CN"/>
              </w:rPr>
              <w:t>参选</w:t>
            </w:r>
            <w:r>
              <w:rPr>
                <w:rFonts w:hint="eastAsia" w:ascii="宋体" w:hAnsi="宋体" w:eastAsia="宋体"/>
                <w:color w:val="auto"/>
                <w:szCs w:val="21"/>
              </w:rPr>
              <w:t>人须结合售后机构距离项目现场的距离承诺到达现场进行维修服务的时间，承诺到达的时间不能超过</w:t>
            </w:r>
            <w:r>
              <w:rPr>
                <w:rFonts w:hint="eastAsia" w:ascii="宋体" w:hAnsi="宋体" w:eastAsia="宋体"/>
                <w:color w:val="auto"/>
                <w:szCs w:val="21"/>
                <w:lang w:val="en-US" w:eastAsia="zh-CN"/>
              </w:rPr>
              <w:t>48</w:t>
            </w:r>
            <w:r>
              <w:rPr>
                <w:rFonts w:hint="eastAsia" w:ascii="宋体" w:hAnsi="宋体" w:eastAsia="宋体"/>
                <w:color w:val="auto"/>
                <w:szCs w:val="21"/>
              </w:rPr>
              <w:t>小时，须在</w:t>
            </w:r>
            <w:r>
              <w:rPr>
                <w:rFonts w:hint="eastAsia" w:ascii="宋体" w:hAnsi="宋体" w:eastAsia="宋体"/>
                <w:color w:val="auto"/>
                <w:szCs w:val="21"/>
                <w:lang w:eastAsia="zh-CN"/>
              </w:rPr>
              <w:t>参选</w:t>
            </w:r>
            <w:r>
              <w:rPr>
                <w:rFonts w:hint="eastAsia" w:ascii="宋体" w:hAnsi="宋体" w:eastAsia="宋体"/>
                <w:color w:val="auto"/>
                <w:szCs w:val="21"/>
              </w:rPr>
              <w:t>文件中附承诺</w:t>
            </w:r>
            <w:r>
              <w:rPr>
                <w:rFonts w:hint="eastAsia" w:ascii="宋体" w:hAnsi="宋体" w:eastAsia="宋体"/>
                <w:color w:val="auto"/>
                <w:szCs w:val="21"/>
                <w:lang w:eastAsia="zh-CN"/>
              </w:rPr>
              <w:t>，无专业厂家工程师承诺不得分</w:t>
            </w:r>
            <w:r>
              <w:rPr>
                <w:rFonts w:hint="eastAsia" w:ascii="宋体" w:hAnsi="宋体" w:eastAsia="宋体"/>
                <w:color w:val="auto"/>
                <w:szCs w:val="21"/>
              </w:rPr>
              <w:t>）。</w:t>
            </w:r>
          </w:p>
          <w:p w14:paraId="66F34E1E">
            <w:pPr>
              <w:spacing w:line="300" w:lineRule="exact"/>
              <w:jc w:val="left"/>
              <w:rPr>
                <w:rFonts w:hint="eastAsia" w:eastAsiaTheme="minorEastAsia"/>
                <w:color w:val="auto"/>
                <w:lang w:eastAsia="zh-CN"/>
              </w:rPr>
            </w:pPr>
            <w:r>
              <w:rPr>
                <w:rFonts w:hint="eastAsia" w:ascii="宋体" w:hAnsi="宋体" w:eastAsia="宋体"/>
                <w:color w:val="auto"/>
                <w:szCs w:val="21"/>
              </w:rPr>
              <w:t>1、第一名</w:t>
            </w:r>
            <w:r>
              <w:rPr>
                <w:rFonts w:hint="eastAsia" w:ascii="宋体" w:hAnsi="宋体" w:eastAsia="宋体"/>
                <w:color w:val="auto"/>
                <w:szCs w:val="21"/>
                <w:lang w:eastAsia="zh-CN"/>
              </w:rPr>
              <w:t>得</w:t>
            </w:r>
            <w:r>
              <w:rPr>
                <w:rFonts w:hint="eastAsia" w:ascii="宋体" w:hAnsi="宋体" w:eastAsia="宋体"/>
                <w:color w:val="auto"/>
                <w:szCs w:val="21"/>
                <w:lang w:val="en-US" w:eastAsia="zh-CN"/>
              </w:rPr>
              <w:t>4</w:t>
            </w:r>
            <w:r>
              <w:rPr>
                <w:rFonts w:hint="eastAsia" w:ascii="宋体" w:hAnsi="宋体" w:eastAsia="宋体"/>
                <w:color w:val="auto"/>
                <w:szCs w:val="21"/>
              </w:rPr>
              <w:t>分；2、第二名</w:t>
            </w:r>
            <w:r>
              <w:rPr>
                <w:rFonts w:hint="eastAsia" w:ascii="宋体" w:hAnsi="宋体" w:eastAsia="宋体"/>
                <w:color w:val="auto"/>
                <w:szCs w:val="21"/>
                <w:lang w:eastAsia="zh-CN"/>
              </w:rPr>
              <w:t>得</w:t>
            </w:r>
            <w:r>
              <w:rPr>
                <w:rFonts w:hint="eastAsia" w:ascii="宋体" w:hAnsi="宋体" w:eastAsia="宋体"/>
                <w:color w:val="auto"/>
                <w:szCs w:val="21"/>
                <w:lang w:val="en-US" w:eastAsia="zh-CN"/>
              </w:rPr>
              <w:t>2</w:t>
            </w:r>
            <w:r>
              <w:rPr>
                <w:rFonts w:hint="eastAsia" w:ascii="宋体" w:hAnsi="宋体" w:eastAsia="宋体"/>
                <w:color w:val="auto"/>
                <w:szCs w:val="21"/>
              </w:rPr>
              <w:t xml:space="preserve"> 分；3、第三名或更低</w:t>
            </w:r>
            <w:r>
              <w:rPr>
                <w:rFonts w:hint="eastAsia" w:ascii="宋体" w:hAnsi="宋体" w:eastAsia="宋体"/>
                <w:color w:val="auto"/>
                <w:szCs w:val="21"/>
                <w:lang w:eastAsia="zh-CN"/>
              </w:rPr>
              <w:t>得</w:t>
            </w:r>
            <w:r>
              <w:rPr>
                <w:rFonts w:hint="eastAsia" w:ascii="宋体" w:hAnsi="宋体" w:eastAsia="宋体"/>
                <w:color w:val="auto"/>
                <w:szCs w:val="21"/>
              </w:rPr>
              <w:t>0分。</w:t>
            </w:r>
          </w:p>
        </w:tc>
        <w:tc>
          <w:tcPr>
            <w:tcW w:w="997" w:type="dxa"/>
            <w:noWrap w:val="0"/>
            <w:vAlign w:val="center"/>
          </w:tcPr>
          <w:p w14:paraId="29600913">
            <w:pPr>
              <w:spacing w:line="300" w:lineRule="exact"/>
              <w:rPr>
                <w:rFonts w:cs="宋体"/>
                <w:bCs/>
                <w:color w:val="auto"/>
              </w:rPr>
            </w:pPr>
          </w:p>
        </w:tc>
      </w:tr>
      <w:tr w14:paraId="5796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738" w:type="dxa"/>
            <w:noWrap w:val="0"/>
            <w:vAlign w:val="center"/>
          </w:tcPr>
          <w:p w14:paraId="63C379EC">
            <w:pPr>
              <w:pStyle w:val="3"/>
              <w:spacing w:line="300" w:lineRule="exact"/>
              <w:ind w:firstLine="207" w:firstLineChars="98"/>
              <w:rPr>
                <w:rFonts w:hint="default"/>
                <w:b/>
                <w:bCs/>
                <w:color w:val="auto"/>
                <w:lang w:val="en-US" w:eastAsia="zh-CN"/>
              </w:rPr>
            </w:pPr>
            <w:r>
              <w:rPr>
                <w:rFonts w:hint="eastAsia"/>
                <w:b/>
                <w:bCs/>
                <w:color w:val="auto"/>
                <w:lang w:val="en-US" w:eastAsia="zh-CN"/>
              </w:rPr>
              <w:t>5</w:t>
            </w:r>
          </w:p>
        </w:tc>
        <w:tc>
          <w:tcPr>
            <w:tcW w:w="1511" w:type="dxa"/>
            <w:shd w:val="clear" w:color="auto" w:fill="auto"/>
            <w:noWrap w:val="0"/>
            <w:vAlign w:val="center"/>
          </w:tcPr>
          <w:p w14:paraId="64C66E17">
            <w:pPr>
              <w:pStyle w:val="3"/>
              <w:spacing w:line="300" w:lineRule="exact"/>
              <w:jc w:val="center"/>
              <w:rPr>
                <w:rFonts w:hint="eastAsia" w:asciiTheme="minorHAnsi" w:hAnsiTheme="minorHAnsi" w:eastAsiaTheme="minorEastAsia" w:cstheme="minorBidi"/>
                <w:b/>
                <w:bCs/>
                <w:color w:val="auto"/>
                <w:kern w:val="2"/>
                <w:sz w:val="21"/>
                <w:szCs w:val="22"/>
                <w:lang w:val="en-US" w:eastAsia="zh-CN" w:bidi="ar-SA"/>
              </w:rPr>
            </w:pPr>
            <w:r>
              <w:rPr>
                <w:rFonts w:hint="eastAsia" w:cs="宋体"/>
                <w:b/>
                <w:bCs/>
                <w:color w:val="auto"/>
                <w:lang w:val="en-US" w:eastAsia="zh-CN"/>
              </w:rPr>
              <w:t>业绩评价</w:t>
            </w:r>
          </w:p>
        </w:tc>
        <w:tc>
          <w:tcPr>
            <w:tcW w:w="750" w:type="dxa"/>
            <w:shd w:val="clear" w:color="auto" w:fill="auto"/>
            <w:noWrap w:val="0"/>
            <w:vAlign w:val="center"/>
          </w:tcPr>
          <w:p w14:paraId="05A72AAE">
            <w:pPr>
              <w:spacing w:line="300" w:lineRule="exact"/>
              <w:jc w:val="center"/>
              <w:rPr>
                <w:rFonts w:asciiTheme="minorHAnsi" w:hAnsiTheme="minorHAnsi" w:eastAsiaTheme="minorEastAsia" w:cstheme="minorBidi"/>
                <w:color w:val="auto"/>
                <w:kern w:val="2"/>
                <w:sz w:val="21"/>
                <w:szCs w:val="22"/>
                <w:lang w:val="en-US" w:eastAsia="zh-CN" w:bidi="ar-SA"/>
              </w:rPr>
            </w:pPr>
            <w:r>
              <w:rPr>
                <w:color w:val="auto"/>
              </w:rPr>
              <w:t>3</w:t>
            </w:r>
            <w:r>
              <w:rPr>
                <w:rFonts w:hint="eastAsia"/>
                <w:color w:val="auto"/>
              </w:rPr>
              <w:t>分</w:t>
            </w:r>
          </w:p>
        </w:tc>
        <w:tc>
          <w:tcPr>
            <w:tcW w:w="11015" w:type="dxa"/>
            <w:gridSpan w:val="2"/>
            <w:shd w:val="clear" w:color="auto" w:fill="auto"/>
            <w:noWrap w:val="0"/>
            <w:vAlign w:val="center"/>
          </w:tcPr>
          <w:p w14:paraId="7466C2F8">
            <w:pPr>
              <w:spacing w:line="300" w:lineRule="exact"/>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根据参选人或所投产品制造商提供针对本项目销售业绩份数进行评价。（须提供清晰的采购合同复印件或中标通知书复印件作为证明材料。≥</w:t>
            </w:r>
            <w:r>
              <w:rPr>
                <w:rFonts w:hint="eastAsia"/>
                <w:color w:val="auto"/>
                <w:lang w:val="en-US" w:eastAsia="zh-CN"/>
              </w:rPr>
              <w:t>3</w:t>
            </w:r>
            <w:r>
              <w:rPr>
                <w:rFonts w:hint="eastAsia"/>
                <w:color w:val="auto"/>
                <w:lang w:eastAsia="zh-CN"/>
              </w:rPr>
              <w:t>份得</w:t>
            </w:r>
            <w:r>
              <w:rPr>
                <w:rFonts w:hint="eastAsia"/>
                <w:color w:val="auto"/>
                <w:lang w:val="en-US" w:eastAsia="zh-CN"/>
              </w:rPr>
              <w:t>3分，不提供或提供不全不得分。</w:t>
            </w:r>
          </w:p>
        </w:tc>
        <w:tc>
          <w:tcPr>
            <w:tcW w:w="997" w:type="dxa"/>
            <w:noWrap w:val="0"/>
            <w:vAlign w:val="center"/>
          </w:tcPr>
          <w:p w14:paraId="025F1796">
            <w:pPr>
              <w:spacing w:line="300" w:lineRule="exact"/>
              <w:rPr>
                <w:rFonts w:cs="宋体"/>
                <w:bCs/>
                <w:color w:val="auto"/>
              </w:rPr>
            </w:pPr>
          </w:p>
        </w:tc>
      </w:tr>
      <w:tr w14:paraId="53C8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exact"/>
        </w:trPr>
        <w:tc>
          <w:tcPr>
            <w:tcW w:w="738" w:type="dxa"/>
            <w:noWrap w:val="0"/>
            <w:vAlign w:val="center"/>
          </w:tcPr>
          <w:p w14:paraId="04211800">
            <w:pPr>
              <w:pStyle w:val="3"/>
              <w:spacing w:line="300" w:lineRule="exact"/>
              <w:ind w:firstLine="207" w:firstLineChars="98"/>
              <w:rPr>
                <w:rFonts w:hint="default"/>
                <w:b/>
                <w:bCs/>
                <w:color w:val="auto"/>
                <w:lang w:val="en-US" w:eastAsia="zh-CN"/>
              </w:rPr>
            </w:pPr>
            <w:r>
              <w:rPr>
                <w:rFonts w:hint="eastAsia"/>
                <w:b/>
                <w:bCs/>
                <w:color w:val="auto"/>
                <w:lang w:val="en-US" w:eastAsia="zh-CN"/>
              </w:rPr>
              <w:t>6</w:t>
            </w:r>
          </w:p>
        </w:tc>
        <w:tc>
          <w:tcPr>
            <w:tcW w:w="1511" w:type="dxa"/>
            <w:noWrap w:val="0"/>
            <w:vAlign w:val="center"/>
          </w:tcPr>
          <w:p w14:paraId="14B91324">
            <w:pPr>
              <w:pStyle w:val="3"/>
              <w:spacing w:line="300" w:lineRule="exact"/>
              <w:jc w:val="center"/>
              <w:rPr>
                <w:rFonts w:hint="eastAsia"/>
                <w:b/>
                <w:bCs/>
                <w:color w:val="auto"/>
                <w:lang w:val="en-US" w:eastAsia="zh-CN"/>
              </w:rPr>
            </w:pPr>
            <w:r>
              <w:rPr>
                <w:rFonts w:hint="eastAsia"/>
                <w:b/>
                <w:bCs/>
                <w:color w:val="auto"/>
                <w:lang w:val="en-US" w:eastAsia="zh-CN"/>
              </w:rPr>
              <w:t>其他服务</w:t>
            </w:r>
          </w:p>
        </w:tc>
        <w:tc>
          <w:tcPr>
            <w:tcW w:w="750" w:type="dxa"/>
            <w:noWrap w:val="0"/>
            <w:vAlign w:val="center"/>
          </w:tcPr>
          <w:p w14:paraId="2C66CD17">
            <w:pPr>
              <w:spacing w:line="300" w:lineRule="exact"/>
              <w:jc w:val="center"/>
              <w:rPr>
                <w:rFonts w:hint="eastAsia" w:eastAsiaTheme="minorEastAsia"/>
                <w:color w:val="auto"/>
                <w:lang w:val="en-US" w:eastAsia="zh-CN"/>
              </w:rPr>
            </w:pPr>
            <w:r>
              <w:rPr>
                <w:rFonts w:hint="eastAsia"/>
                <w:color w:val="auto"/>
                <w:lang w:val="en-US" w:eastAsia="zh-CN"/>
              </w:rPr>
              <w:t>5</w:t>
            </w:r>
            <w:r>
              <w:rPr>
                <w:rFonts w:hint="eastAsia"/>
                <w:color w:val="auto"/>
              </w:rPr>
              <w:t>分</w:t>
            </w:r>
          </w:p>
        </w:tc>
        <w:tc>
          <w:tcPr>
            <w:tcW w:w="11015" w:type="dxa"/>
            <w:gridSpan w:val="2"/>
            <w:noWrap w:val="0"/>
            <w:vAlign w:val="center"/>
          </w:tcPr>
          <w:p w14:paraId="101C2024">
            <w:pPr>
              <w:numPr>
                <w:ilvl w:val="0"/>
                <w:numId w:val="0"/>
              </w:numPr>
              <w:spacing w:line="300" w:lineRule="exact"/>
              <w:rPr>
                <w:rFonts w:hint="default"/>
                <w:color w:val="auto"/>
                <w:lang w:val="en-US" w:eastAsia="zh-CN"/>
              </w:rPr>
            </w:pPr>
            <w:r>
              <w:rPr>
                <w:rFonts w:hint="eastAsia"/>
                <w:color w:val="auto"/>
                <w:lang w:val="en-US" w:eastAsia="zh-CN"/>
              </w:rPr>
              <w:t>为该项目的计量设备提供一年计量检测服务得2分，每增加一年增加1分（最高不超过5分）</w:t>
            </w:r>
          </w:p>
        </w:tc>
        <w:tc>
          <w:tcPr>
            <w:tcW w:w="997" w:type="dxa"/>
            <w:noWrap w:val="0"/>
            <w:vAlign w:val="center"/>
          </w:tcPr>
          <w:p w14:paraId="0C31CA7C">
            <w:pPr>
              <w:spacing w:line="300" w:lineRule="exact"/>
              <w:rPr>
                <w:rFonts w:cs="宋体"/>
                <w:bCs/>
                <w:color w:val="auto"/>
              </w:rPr>
            </w:pPr>
          </w:p>
        </w:tc>
      </w:tr>
      <w:tr w14:paraId="21E2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trPr>
        <w:tc>
          <w:tcPr>
            <w:tcW w:w="12279" w:type="dxa"/>
            <w:gridSpan w:val="4"/>
            <w:noWrap w:val="0"/>
            <w:vAlign w:val="center"/>
          </w:tcPr>
          <w:p w14:paraId="0A2F2EE8">
            <w:pPr>
              <w:spacing w:line="300" w:lineRule="exact"/>
              <w:rPr>
                <w:rFonts w:hint="eastAsia"/>
                <w:b/>
                <w:color w:val="auto"/>
              </w:rPr>
            </w:pPr>
            <w:r>
              <w:rPr>
                <w:rFonts w:hint="eastAsia"/>
                <w:b/>
                <w:color w:val="auto"/>
              </w:rPr>
              <w:t>以上评分条款中涉及的合同、产品彩页等必须真实、有效，</w:t>
            </w:r>
            <w:r>
              <w:rPr>
                <w:rFonts w:hint="eastAsia"/>
                <w:b/>
                <w:color w:val="auto"/>
                <w:lang w:eastAsia="zh-CN"/>
              </w:rPr>
              <w:t>参选</w:t>
            </w:r>
            <w:r>
              <w:rPr>
                <w:rFonts w:hint="eastAsia"/>
                <w:b/>
                <w:color w:val="auto"/>
              </w:rPr>
              <w:t>人需清楚</w:t>
            </w:r>
            <w:r>
              <w:rPr>
                <w:rFonts w:hint="eastAsia"/>
                <w:b/>
                <w:color w:val="auto"/>
                <w:lang w:eastAsia="zh-CN"/>
              </w:rPr>
              <w:t>比选</w:t>
            </w:r>
            <w:r>
              <w:rPr>
                <w:rFonts w:hint="eastAsia"/>
                <w:b/>
                <w:color w:val="auto"/>
              </w:rPr>
              <w:t>文件的要求及有关文件规定。并承诺在本次</w:t>
            </w:r>
            <w:r>
              <w:rPr>
                <w:rFonts w:hint="eastAsia"/>
                <w:b/>
                <w:color w:val="auto"/>
                <w:lang w:eastAsia="zh-CN"/>
              </w:rPr>
              <w:t>参选</w:t>
            </w:r>
            <w:r>
              <w:rPr>
                <w:rFonts w:hint="eastAsia"/>
                <w:b/>
                <w:color w:val="auto"/>
              </w:rPr>
              <w:t>活动中，如有违法、违规、弄虚作假行为，所造成的损失、不良后果及法律责任一律自行承担。</w:t>
            </w:r>
          </w:p>
          <w:p w14:paraId="1D679FA3">
            <w:pPr>
              <w:rPr>
                <w:color w:val="auto"/>
              </w:rPr>
            </w:pPr>
            <w:r>
              <w:rPr>
                <w:rFonts w:hint="eastAsia"/>
                <w:b/>
                <w:color w:val="auto"/>
                <w:lang w:eastAsia="zh-CN"/>
              </w:rPr>
              <w:t>备注：以上所提供的材料必须保证真实可信，如有虚假则取消参选资格并追究相关责任。</w:t>
            </w:r>
          </w:p>
          <w:p w14:paraId="75F57637">
            <w:pPr>
              <w:spacing w:line="300" w:lineRule="exact"/>
              <w:rPr>
                <w:rFonts w:hint="eastAsia"/>
                <w:b/>
                <w:color w:val="auto"/>
              </w:rPr>
            </w:pPr>
          </w:p>
        </w:tc>
        <w:tc>
          <w:tcPr>
            <w:tcW w:w="1735" w:type="dxa"/>
            <w:noWrap w:val="0"/>
            <w:vAlign w:val="center"/>
          </w:tcPr>
          <w:p w14:paraId="4A73E98B">
            <w:pPr>
              <w:spacing w:line="300" w:lineRule="exact"/>
              <w:jc w:val="center"/>
              <w:rPr>
                <w:rFonts w:hint="eastAsia" w:eastAsiaTheme="minorEastAsia"/>
                <w:b/>
                <w:color w:val="auto"/>
                <w:lang w:eastAsia="zh-CN"/>
              </w:rPr>
            </w:pPr>
            <w:r>
              <w:rPr>
                <w:rFonts w:hint="eastAsia"/>
                <w:b/>
                <w:color w:val="auto"/>
                <w:lang w:eastAsia="zh-CN"/>
              </w:rPr>
              <w:t>最后得分</w:t>
            </w:r>
          </w:p>
        </w:tc>
        <w:tc>
          <w:tcPr>
            <w:tcW w:w="997" w:type="dxa"/>
            <w:noWrap w:val="0"/>
            <w:vAlign w:val="center"/>
          </w:tcPr>
          <w:p w14:paraId="36BCD9A4">
            <w:pPr>
              <w:spacing w:line="300" w:lineRule="exact"/>
              <w:rPr>
                <w:rFonts w:hint="eastAsia"/>
                <w:b/>
                <w:color w:val="auto"/>
              </w:rPr>
            </w:pPr>
          </w:p>
        </w:tc>
      </w:tr>
    </w:tbl>
    <w:p w14:paraId="65BAC14A">
      <w:pPr>
        <w:pStyle w:val="5"/>
        <w:keepNext w:val="0"/>
        <w:keepLines w:val="0"/>
        <w:pageBreakBefore w:val="0"/>
        <w:kinsoku/>
        <w:wordWrap/>
        <w:overflowPunct/>
        <w:topLinePunct w:val="0"/>
        <w:bidi w:val="0"/>
        <w:snapToGrid/>
        <w:spacing w:line="560" w:lineRule="exact"/>
      </w:pPr>
    </w:p>
    <w:p w14:paraId="722A98BA">
      <w:pPr>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00CAB8D9">
      <w:pPr>
        <w:keepNext w:val="0"/>
        <w:keepLines w:val="0"/>
        <w:pageBreakBefore w:val="0"/>
        <w:numPr>
          <w:ilvl w:val="0"/>
          <w:numId w:val="0"/>
        </w:numPr>
        <w:kinsoku/>
        <w:wordWrap/>
        <w:overflowPunct/>
        <w:topLinePunct w:val="0"/>
        <w:bidi w:val="0"/>
        <w:snapToGrid/>
        <w:spacing w:line="560" w:lineRule="exact"/>
        <w:ind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11EE9F62">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66559FF4">
      <w:pPr>
        <w:pStyle w:val="3"/>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5414ABC4">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10211125">
      <w:pPr>
        <w:pStyle w:val="3"/>
        <w:keepNext w:val="0"/>
        <w:keepLines w:val="0"/>
        <w:pageBreakBefore w:val="0"/>
        <w:kinsoku/>
        <w:wordWrap/>
        <w:overflowPunct/>
        <w:topLinePunct w:val="0"/>
        <w:bidi w:val="0"/>
        <w:snapToGrid/>
        <w:spacing w:after="0" w:line="560" w:lineRule="exact"/>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3"/>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keepNext w:val="0"/>
        <w:keepLines w:val="0"/>
        <w:pageBreakBefore w:val="0"/>
        <w:tabs>
          <w:tab w:val="left" w:pos="3630"/>
        </w:tabs>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4BA89FD1">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436E957D">
      <w:pPr>
        <w:keepNext w:val="0"/>
        <w:keepLines w:val="0"/>
        <w:pageBreakBefore w:val="0"/>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2E27B019">
      <w:pPr>
        <w:pStyle w:val="5"/>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20191694">
      <w:pPr>
        <w:keepNext w:val="0"/>
        <w:keepLines w:val="0"/>
        <w:pageBreakBefore w:val="0"/>
        <w:kinsoku/>
        <w:wordWrap/>
        <w:overflowPunct/>
        <w:topLinePunct w:val="0"/>
        <w:bidi w:val="0"/>
        <w:snapToGrid/>
        <w:spacing w:line="560" w:lineRule="exact"/>
        <w:rPr>
          <w:rFonts w:hint="default"/>
          <w:lang w:val="en-US" w:eastAsia="zh-CN"/>
        </w:rPr>
      </w:pPr>
    </w:p>
    <w:p w14:paraId="2E98FCE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23F28A26">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0726252">
      <w:pPr>
        <w:keepNext w:val="0"/>
        <w:keepLines w:val="0"/>
        <w:pageBreakBefore w:val="0"/>
        <w:widowControl/>
        <w:kinsoku/>
        <w:wordWrap/>
        <w:overflowPunct/>
        <w:topLinePunct w:val="0"/>
        <w:bidi w:val="0"/>
        <w:snapToGrid/>
        <w:spacing w:before="1857" w:line="56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5B5A1AAB">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393944F5">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11A2D887">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13280D1">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F36518D">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7B89E5E2">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5B7CB967">
      <w:pPr>
        <w:keepNext w:val="0"/>
        <w:keepLines w:val="0"/>
        <w:pageBreakBefore w:val="0"/>
        <w:kinsoku/>
        <w:wordWrap/>
        <w:overflowPunct/>
        <w:topLinePunct w:val="0"/>
        <w:bidi w:val="0"/>
        <w:snapToGrid/>
        <w:spacing w:line="560" w:lineRule="exact"/>
        <w:rPr>
          <w:rFonts w:hint="eastAsia"/>
          <w:color w:val="000000"/>
          <w:sz w:val="24"/>
          <w:szCs w:val="24"/>
        </w:rPr>
      </w:pPr>
    </w:p>
    <w:p w14:paraId="596B000C">
      <w:pPr>
        <w:keepNext w:val="0"/>
        <w:keepLines w:val="0"/>
        <w:pageBreakBefore w:val="0"/>
        <w:kinsoku/>
        <w:wordWrap/>
        <w:overflowPunct/>
        <w:topLinePunct w:val="0"/>
        <w:bidi w:val="0"/>
        <w:snapToGrid/>
        <w:spacing w:line="560" w:lineRule="exact"/>
        <w:rPr>
          <w:rFonts w:hint="eastAsia"/>
          <w:color w:val="000000"/>
          <w:sz w:val="24"/>
          <w:szCs w:val="24"/>
          <w:lang w:val="en-US" w:eastAsia="zh-CN"/>
        </w:rPr>
      </w:pPr>
    </w:p>
    <w:p w14:paraId="744EB7EE">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275228D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0A0DEF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CEB5A54">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21CA4D5C">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65A00E26">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4DF81934">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0BE58FF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181DA2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466BA1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0CE6FF3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7509C7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6CDE568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2EE331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3F5919C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5DC7D1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35C30A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5A1979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796F158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04A35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478C2EE5">
      <w:pPr>
        <w:keepNext w:val="0"/>
        <w:keepLines w:val="0"/>
        <w:pageBreakBefore w:val="0"/>
        <w:kinsoku/>
        <w:wordWrap/>
        <w:overflowPunct/>
        <w:topLinePunct w:val="0"/>
        <w:bidi w:val="0"/>
        <w:snapToGrid/>
        <w:spacing w:line="560" w:lineRule="exact"/>
        <w:rPr>
          <w:rFonts w:hint="eastAsia"/>
          <w:b/>
          <w:color w:val="000000"/>
          <w:sz w:val="24"/>
          <w:szCs w:val="24"/>
        </w:rPr>
      </w:pPr>
    </w:p>
    <w:p w14:paraId="13AC8F7F">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5F74E4D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0BDC678">
      <w:pPr>
        <w:keepNext w:val="0"/>
        <w:keepLines w:val="0"/>
        <w:pageBreakBefore w:val="0"/>
        <w:widowControl/>
        <w:kinsoku/>
        <w:wordWrap/>
        <w:overflowPunct/>
        <w:topLinePunct w:val="0"/>
        <w:bidi w:val="0"/>
        <w:snapToGrid/>
        <w:spacing w:line="5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3、开标一览表</w:t>
      </w:r>
      <w:bookmarkStart w:id="0" w:name="_Toc519068584"/>
      <w:bookmarkStart w:id="1" w:name="_Toc516969101"/>
    </w:p>
    <w:p w14:paraId="1D592FCF">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开标一览表</w:t>
      </w:r>
    </w:p>
    <w:p w14:paraId="3FDA1AF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59C98E8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8"/>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单价（元）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最终总报价（人民币大写） ：     元</w:t>
            </w:r>
          </w:p>
        </w:tc>
      </w:tr>
    </w:tbl>
    <w:p w14:paraId="51CCB3C8">
      <w:pPr>
        <w:keepNext w:val="0"/>
        <w:keepLines w:val="0"/>
        <w:pageBreakBefore w:val="0"/>
        <w:kinsoku/>
        <w:wordWrap/>
        <w:overflowPunct/>
        <w:topLinePunct w:val="0"/>
        <w:bidi w:val="0"/>
        <w:snapToGrid/>
        <w:spacing w:line="560" w:lineRule="exact"/>
        <w:ind w:firstLine="240" w:firstLineChars="100"/>
        <w:rPr>
          <w:rFonts w:hint="eastAsia" w:cs="宋体"/>
          <w:color w:val="000000"/>
          <w:sz w:val="24"/>
          <w:szCs w:val="24"/>
        </w:rPr>
      </w:pPr>
    </w:p>
    <w:p w14:paraId="7C21AB40">
      <w:pPr>
        <w:keepNext w:val="0"/>
        <w:keepLines w:val="0"/>
        <w:pageBreakBefore w:val="0"/>
        <w:kinsoku/>
        <w:wordWrap/>
        <w:overflowPunct/>
        <w:topLinePunct w:val="0"/>
        <w:bidi w:val="0"/>
        <w:snapToGrid/>
        <w:spacing w:line="560" w:lineRule="exact"/>
        <w:rPr>
          <w:rFonts w:hint="eastAsia" w:cs="宋体"/>
          <w:color w:val="000000"/>
          <w:sz w:val="24"/>
          <w:szCs w:val="24"/>
        </w:rPr>
      </w:pPr>
    </w:p>
    <w:p w14:paraId="22A052F9">
      <w:pPr>
        <w:keepNext w:val="0"/>
        <w:keepLines w:val="0"/>
        <w:pageBreakBefore w:val="0"/>
        <w:kinsoku/>
        <w:wordWrap/>
        <w:overflowPunct/>
        <w:topLinePunct w:val="0"/>
        <w:bidi w:val="0"/>
        <w:snapToGrid/>
        <w:spacing w:line="560" w:lineRule="exact"/>
        <w:rPr>
          <w:rFonts w:hint="eastAsia" w:cs="宋体"/>
          <w:color w:val="000000"/>
          <w:sz w:val="24"/>
          <w:szCs w:val="24"/>
        </w:rPr>
      </w:pPr>
    </w:p>
    <w:p w14:paraId="4075FF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7240D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1DD67E0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409F2A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p>
    <w:p w14:paraId="61AEC47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2、本表所填价格均包括其它所有费用</w:t>
      </w:r>
    </w:p>
    <w:p w14:paraId="5C35C62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3、最终总报价=合计金额</w:t>
      </w:r>
      <w:r>
        <w:rPr>
          <w:rFonts w:hint="eastAsia" w:ascii="方正仿宋_GB2312" w:hAnsi="方正仿宋_GB2312" w:eastAsia="方正仿宋_GB2312" w:cs="方正仿宋_GB2312"/>
          <w:color w:val="000000"/>
          <w:sz w:val="24"/>
          <w:szCs w:val="24"/>
          <w:lang w:val="en-US" w:eastAsia="zh-CN"/>
        </w:rPr>
        <w:t>-</w:t>
      </w:r>
      <w:r>
        <w:rPr>
          <w:rFonts w:hint="eastAsia" w:ascii="方正仿宋_GB2312" w:hAnsi="方正仿宋_GB2312" w:eastAsia="方正仿宋_GB2312" w:cs="方正仿宋_GB2312"/>
          <w:color w:val="000000"/>
          <w:sz w:val="24"/>
          <w:szCs w:val="24"/>
        </w:rPr>
        <w:t>优惠金额</w:t>
      </w:r>
    </w:p>
    <w:p w14:paraId="7792A016">
      <w:pPr>
        <w:keepNext w:val="0"/>
        <w:keepLines w:val="0"/>
        <w:pageBreakBefore w:val="0"/>
        <w:kinsoku/>
        <w:wordWrap/>
        <w:overflowPunct/>
        <w:topLinePunct w:val="0"/>
        <w:bidi w:val="0"/>
        <w:snapToGrid/>
        <w:spacing w:line="560" w:lineRule="exact"/>
        <w:rPr>
          <w:rFonts w:hint="eastAsia" w:cs="楷体"/>
          <w:color w:val="000000"/>
          <w:spacing w:val="1"/>
          <w:kern w:val="0"/>
          <w:sz w:val="24"/>
          <w:szCs w:val="24"/>
        </w:rPr>
      </w:pPr>
    </w:p>
    <w:p w14:paraId="0378719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2F4046D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p>
    <w:p w14:paraId="2ED0C358">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06E7E52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56A9EA4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0675196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5CB5AA7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54C05A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5EA981D3">
      <w:pPr>
        <w:keepNext w:val="0"/>
        <w:keepLines w:val="0"/>
        <w:pageBreakBefore w:val="0"/>
        <w:kinsoku/>
        <w:wordWrap/>
        <w:overflowPunct/>
        <w:topLinePunct w:val="0"/>
        <w:bidi w:val="0"/>
        <w:snapToGrid/>
        <w:spacing w:line="56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372F54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31B0A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7C238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23B797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0BE979E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6FF6D3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8"/>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48613A27">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c>
          <w:tcPr>
            <w:tcW w:w="4489" w:type="dxa"/>
            <w:noWrap w:val="0"/>
            <w:vAlign w:val="top"/>
          </w:tcPr>
          <w:p w14:paraId="5C0FBF7F">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r>
    </w:tbl>
    <w:p w14:paraId="38F8CD66">
      <w:pPr>
        <w:keepNext w:val="0"/>
        <w:keepLines w:val="0"/>
        <w:pageBreakBefore w:val="0"/>
        <w:widowControl/>
        <w:kinsoku/>
        <w:wordWrap/>
        <w:overflowPunct/>
        <w:topLinePunct w:val="0"/>
        <w:bidi w:val="0"/>
        <w:snapToGrid/>
        <w:spacing w:line="560" w:lineRule="exact"/>
        <w:jc w:val="both"/>
        <w:rPr>
          <w:rFonts w:hint="eastAsia" w:cs="楷体"/>
          <w:color w:val="000000"/>
          <w:spacing w:val="1"/>
          <w:kern w:val="0"/>
          <w:sz w:val="32"/>
          <w:szCs w:val="32"/>
        </w:rPr>
      </w:pPr>
    </w:p>
    <w:p w14:paraId="68E51C84">
      <w:pPr>
        <w:keepNext w:val="0"/>
        <w:keepLines w:val="0"/>
        <w:pageBreakBefore w:val="0"/>
        <w:widowControl/>
        <w:kinsoku/>
        <w:wordWrap/>
        <w:overflowPunct/>
        <w:topLinePunct w:val="0"/>
        <w:bidi w:val="0"/>
        <w:snapToGrid/>
        <w:spacing w:line="560" w:lineRule="exact"/>
        <w:jc w:val="center"/>
        <w:textAlignment w:val="baseline"/>
        <w:rPr>
          <w:bCs/>
          <w:kern w:val="0"/>
          <w:sz w:val="32"/>
          <w:szCs w:val="32"/>
        </w:rPr>
      </w:pPr>
    </w:p>
    <w:p w14:paraId="0E87EB5A">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4D136228">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619B6F9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1BC997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228DE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09718C4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918" w:type="dxa"/>
            <w:noWrap w:val="0"/>
            <w:vAlign w:val="top"/>
          </w:tcPr>
          <w:p w14:paraId="1E0D157A">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7A86CE57">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5C7A6F3D">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bl>
    <w:p w14:paraId="1BB21AF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2A8B199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4A1E5D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BA588A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3C2A39F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4B52B2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A83090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6D2E52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94B06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90FC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64A19A92">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5CA662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065F5B99">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DEC77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bookmarkEnd w:id="0"/>
    <w:bookmarkEnd w:id="1"/>
    <w:p w14:paraId="57EF0E5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1E808A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83DCAE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07A2C9A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AC8E04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24DEE8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369A70F0">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0F34CB2F">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AE630E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651A2C0">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35B81B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0F5E5F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30B6E96">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0B72C5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A4D72B7">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9E1B43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9887D3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624E36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C19D46F">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59BD437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BB0DA69">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3357A1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51F530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E4AE7F5">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DBDDCEC">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59A54CF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6、投标响应及偏离表</w:t>
      </w:r>
    </w:p>
    <w:p w14:paraId="739056C2">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8"/>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7AD3CDE0">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0D6447D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2E3F61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C4DDFEB">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6213304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2046F3F5">
            <w:pPr>
              <w:keepNext w:val="0"/>
              <w:keepLines w:val="0"/>
              <w:pageBreakBefore w:val="0"/>
              <w:kinsoku/>
              <w:wordWrap/>
              <w:overflowPunct/>
              <w:topLinePunct w:val="0"/>
              <w:bidi w:val="0"/>
              <w:snapToGrid/>
              <w:spacing w:line="560" w:lineRule="exact"/>
              <w:jc w:val="center"/>
              <w:rPr>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5490E091">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8A5B8D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2E68BB9A">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5FCA637">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7AFB24C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F9160F8">
            <w:pPr>
              <w:keepNext w:val="0"/>
              <w:keepLines w:val="0"/>
              <w:pageBreakBefore w:val="0"/>
              <w:kinsoku/>
              <w:wordWrap/>
              <w:overflowPunct/>
              <w:topLinePunct w:val="0"/>
              <w:bidi w:val="0"/>
              <w:snapToGrid/>
              <w:spacing w:line="560" w:lineRule="exact"/>
              <w:jc w:val="center"/>
              <w:rPr>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BC05D1E">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F9CB6C8">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438F74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738C55B7">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09239F78">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422DA27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9B51F7B">
            <w:pPr>
              <w:keepNext w:val="0"/>
              <w:keepLines w:val="0"/>
              <w:pageBreakBefore w:val="0"/>
              <w:kinsoku/>
              <w:wordWrap/>
              <w:overflowPunct/>
              <w:topLinePunct w:val="0"/>
              <w:bidi w:val="0"/>
              <w:snapToGrid/>
              <w:spacing w:line="560" w:lineRule="exact"/>
              <w:jc w:val="center"/>
              <w:rPr>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505DC8DD">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10CC33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583D109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16635A6">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0B96E90">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5BCD654F">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57260F76">
            <w:pPr>
              <w:keepNext w:val="0"/>
              <w:keepLines w:val="0"/>
              <w:pageBreakBefore w:val="0"/>
              <w:kinsoku/>
              <w:wordWrap/>
              <w:overflowPunct/>
              <w:topLinePunct w:val="0"/>
              <w:bidi w:val="0"/>
              <w:snapToGrid/>
              <w:spacing w:line="560" w:lineRule="exact"/>
              <w:jc w:val="center"/>
              <w:rPr>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1110E6F6">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07E2F68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67A0528">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F6C6B1E">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367F078A">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3E0180B">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6EB83923">
            <w:pPr>
              <w:keepNext w:val="0"/>
              <w:keepLines w:val="0"/>
              <w:pageBreakBefore w:val="0"/>
              <w:kinsoku/>
              <w:wordWrap/>
              <w:overflowPunct/>
              <w:topLinePunct w:val="0"/>
              <w:bidi w:val="0"/>
              <w:snapToGrid/>
              <w:spacing w:line="560" w:lineRule="exact"/>
              <w:jc w:val="center"/>
              <w:rPr>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6DAEE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54E999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69139296">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64D11B1">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D841A6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3808AE91">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23AD2C3">
            <w:pPr>
              <w:keepNext w:val="0"/>
              <w:keepLines w:val="0"/>
              <w:pageBreakBefore w:val="0"/>
              <w:kinsoku/>
              <w:wordWrap/>
              <w:overflowPunct/>
              <w:topLinePunct w:val="0"/>
              <w:bidi w:val="0"/>
              <w:snapToGrid/>
              <w:spacing w:line="560" w:lineRule="exact"/>
              <w:jc w:val="center"/>
              <w:rPr>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28A49E0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475B3E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1AEC48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31910EB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49DF0974">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B9ECA3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390E23E1">
            <w:pPr>
              <w:keepNext w:val="0"/>
              <w:keepLines w:val="0"/>
              <w:pageBreakBefore w:val="0"/>
              <w:kinsoku/>
              <w:wordWrap/>
              <w:overflowPunct/>
              <w:topLinePunct w:val="0"/>
              <w:bidi w:val="0"/>
              <w:snapToGrid/>
              <w:spacing w:line="560" w:lineRule="exact"/>
              <w:jc w:val="center"/>
              <w:rPr>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EF93B9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800D55C">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39FA223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0AF08E4">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BC1817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09188FEE">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864C154">
            <w:pPr>
              <w:keepNext w:val="0"/>
              <w:keepLines w:val="0"/>
              <w:pageBreakBefore w:val="0"/>
              <w:kinsoku/>
              <w:wordWrap/>
              <w:overflowPunct/>
              <w:topLinePunct w:val="0"/>
              <w:bidi w:val="0"/>
              <w:snapToGrid/>
              <w:spacing w:line="560" w:lineRule="exact"/>
              <w:jc w:val="center"/>
              <w:rPr>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0EA6B2F2">
            <w:pPr>
              <w:keepNext w:val="0"/>
              <w:keepLines w:val="0"/>
              <w:pageBreakBefore w:val="0"/>
              <w:kinsoku/>
              <w:wordWrap/>
              <w:overflowPunct/>
              <w:topLinePunct w:val="0"/>
              <w:bidi w:val="0"/>
              <w:snapToGrid/>
              <w:spacing w:line="560" w:lineRule="exact"/>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7255AB0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685C3280">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p>
    <w:p w14:paraId="7DBB151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0A36BF86">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D31D943">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BEF337">
      <w:pPr>
        <w:keepNext w:val="0"/>
        <w:keepLines w:val="0"/>
        <w:pageBreakBefore w:val="0"/>
        <w:kinsoku/>
        <w:wordWrap/>
        <w:overflowPunct/>
        <w:topLinePunct w:val="0"/>
        <w:bidi w:val="0"/>
        <w:snapToGrid/>
        <w:spacing w:line="560" w:lineRule="exact"/>
        <w:ind w:right="823" w:rightChars="392"/>
        <w:rPr>
          <w:sz w:val="24"/>
          <w:szCs w:val="24"/>
        </w:rPr>
      </w:pPr>
    </w:p>
    <w:p w14:paraId="7C68965E">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AC9AEA5">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7479437">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01E10D81">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2BFF6C44">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634E9172">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4A237DC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要求及注意事项：合同复印或扫描件必需清晰，</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人应保证复印件或扫描件清晰可辨识相关内容，且真实有效。</w:t>
      </w:r>
    </w:p>
    <w:tbl>
      <w:tblPr>
        <w:tblStyle w:val="8"/>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keepNext w:val="0"/>
              <w:keepLines w:val="0"/>
              <w:pageBreakBefore w:val="0"/>
              <w:kinsoku/>
              <w:wordWrap/>
              <w:overflowPunct/>
              <w:topLinePunct w:val="0"/>
              <w:bidi w:val="0"/>
              <w:snapToGrid/>
              <w:spacing w:line="560" w:lineRule="exact"/>
              <w:jc w:val="both"/>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keepNext w:val="0"/>
              <w:keepLines w:val="0"/>
              <w:pageBreakBefore w:val="0"/>
              <w:kinsoku/>
              <w:wordWrap/>
              <w:overflowPunct/>
              <w:topLinePunct w:val="0"/>
              <w:bidi w:val="0"/>
              <w:snapToGrid/>
              <w:spacing w:line="560" w:lineRule="exact"/>
              <w:rPr>
                <w:rFonts w:hint="eastAsia" w:cs="Calibri"/>
                <w:color w:val="000000"/>
                <w:kern w:val="0"/>
                <w:sz w:val="24"/>
                <w:szCs w:val="24"/>
              </w:rPr>
            </w:pPr>
            <w:r>
              <w:rPr>
                <w:rFonts w:hint="eastAsia"/>
                <w:b/>
                <w:lang w:eastAsia="zh-CN"/>
              </w:rPr>
              <w:t>投标人可自行添加</w:t>
            </w:r>
          </w:p>
        </w:tc>
      </w:tr>
    </w:tbl>
    <w:p w14:paraId="60D2F357">
      <w:pPr>
        <w:keepNext w:val="0"/>
        <w:keepLines w:val="0"/>
        <w:pageBreakBefore w:val="0"/>
        <w:kinsoku/>
        <w:wordWrap/>
        <w:overflowPunct/>
        <w:topLinePunct w:val="0"/>
        <w:bidi w:val="0"/>
        <w:snapToGrid/>
        <w:spacing w:line="560" w:lineRule="exact"/>
        <w:ind w:firstLine="480"/>
        <w:jc w:val="center"/>
        <w:rPr>
          <w:rFonts w:hint="eastAsia" w:cs="宋体"/>
          <w:bCs/>
          <w:color w:val="000000"/>
          <w:sz w:val="24"/>
          <w:szCs w:val="24"/>
        </w:rPr>
      </w:pPr>
    </w:p>
    <w:p w14:paraId="3CF985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日期：年  月 日</w:t>
      </w:r>
    </w:p>
    <w:p w14:paraId="75387605">
      <w:pPr>
        <w:keepNext w:val="0"/>
        <w:keepLines w:val="0"/>
        <w:pageBreakBefore w:val="0"/>
        <w:kinsoku/>
        <w:wordWrap/>
        <w:overflowPunct/>
        <w:topLinePunct w:val="0"/>
        <w:bidi w:val="0"/>
        <w:snapToGrid/>
        <w:spacing w:line="560" w:lineRule="exact"/>
        <w:rPr>
          <w:rFonts w:hint="eastAsia"/>
          <w:color w:val="000000"/>
        </w:rPr>
      </w:pPr>
    </w:p>
    <w:p w14:paraId="152D536F">
      <w:pPr>
        <w:keepNext w:val="0"/>
        <w:keepLines w:val="0"/>
        <w:pageBreakBefore w:val="0"/>
        <w:kinsoku/>
        <w:wordWrap/>
        <w:overflowPunct/>
        <w:topLinePunct w:val="0"/>
        <w:bidi w:val="0"/>
        <w:snapToGrid/>
        <w:spacing w:line="560" w:lineRule="exact"/>
        <w:rPr>
          <w:rFonts w:hint="eastAsia"/>
          <w:color w:val="000000"/>
        </w:rPr>
      </w:pPr>
    </w:p>
    <w:p w14:paraId="60E675EA">
      <w:pPr>
        <w:keepNext w:val="0"/>
        <w:keepLines w:val="0"/>
        <w:pageBreakBefore w:val="0"/>
        <w:kinsoku/>
        <w:wordWrap/>
        <w:overflowPunct/>
        <w:topLinePunct w:val="0"/>
        <w:bidi w:val="0"/>
        <w:snapToGrid/>
        <w:spacing w:line="560" w:lineRule="exact"/>
        <w:rPr>
          <w:rFonts w:hint="eastAsia"/>
          <w:color w:val="000000"/>
        </w:rPr>
      </w:pPr>
    </w:p>
    <w:p w14:paraId="4A6C2CD6">
      <w:pPr>
        <w:keepNext w:val="0"/>
        <w:keepLines w:val="0"/>
        <w:pageBreakBefore w:val="0"/>
        <w:kinsoku/>
        <w:wordWrap/>
        <w:overflowPunct/>
        <w:topLinePunct w:val="0"/>
        <w:bidi w:val="0"/>
        <w:snapToGrid/>
        <w:spacing w:line="560" w:lineRule="exact"/>
        <w:rPr>
          <w:rFonts w:hint="eastAsia"/>
          <w:color w:val="000000"/>
        </w:rPr>
      </w:pPr>
    </w:p>
    <w:p w14:paraId="4F402B29">
      <w:pPr>
        <w:keepNext w:val="0"/>
        <w:keepLines w:val="0"/>
        <w:pageBreakBefore w:val="0"/>
        <w:kinsoku/>
        <w:wordWrap/>
        <w:overflowPunct/>
        <w:topLinePunct w:val="0"/>
        <w:bidi w:val="0"/>
        <w:snapToGrid/>
        <w:spacing w:line="560" w:lineRule="exact"/>
        <w:rPr>
          <w:rFonts w:hint="eastAsia"/>
          <w:color w:val="000000"/>
        </w:rPr>
      </w:pPr>
    </w:p>
    <w:p w14:paraId="55134514">
      <w:pPr>
        <w:keepNext w:val="0"/>
        <w:keepLines w:val="0"/>
        <w:pageBreakBefore w:val="0"/>
        <w:kinsoku/>
        <w:wordWrap/>
        <w:overflowPunct/>
        <w:topLinePunct w:val="0"/>
        <w:bidi w:val="0"/>
        <w:snapToGrid/>
        <w:spacing w:line="560" w:lineRule="exact"/>
        <w:rPr>
          <w:rFonts w:hint="eastAsia"/>
          <w:color w:val="000000"/>
        </w:rPr>
      </w:pPr>
    </w:p>
    <w:p w14:paraId="0EF801F8">
      <w:pPr>
        <w:keepNext w:val="0"/>
        <w:keepLines w:val="0"/>
        <w:pageBreakBefore w:val="0"/>
        <w:kinsoku/>
        <w:wordWrap/>
        <w:overflowPunct/>
        <w:topLinePunct w:val="0"/>
        <w:bidi w:val="0"/>
        <w:snapToGrid/>
        <w:spacing w:line="560" w:lineRule="exact"/>
        <w:rPr>
          <w:rFonts w:hint="eastAsia"/>
          <w:color w:val="000000"/>
        </w:rPr>
      </w:pPr>
    </w:p>
    <w:p w14:paraId="2AB0B598">
      <w:pPr>
        <w:keepNext w:val="0"/>
        <w:keepLines w:val="0"/>
        <w:pageBreakBefore w:val="0"/>
        <w:kinsoku/>
        <w:wordWrap/>
        <w:overflowPunct/>
        <w:topLinePunct w:val="0"/>
        <w:bidi w:val="0"/>
        <w:snapToGrid/>
        <w:spacing w:line="560" w:lineRule="exact"/>
        <w:rPr>
          <w:rFonts w:hint="eastAsia"/>
          <w:color w:val="000000"/>
        </w:rPr>
      </w:pPr>
    </w:p>
    <w:p w14:paraId="0B5063F1">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8、具有履行合同所必须的设备和专业技术能力的承诺书</w:t>
      </w:r>
    </w:p>
    <w:p w14:paraId="21DCB2AF">
      <w:pPr>
        <w:keepNext w:val="0"/>
        <w:keepLines w:val="0"/>
        <w:pageBreakBefore w:val="0"/>
        <w:widowControl/>
        <w:kinsoku/>
        <w:wordWrap/>
        <w:overflowPunct/>
        <w:topLinePunct w:val="0"/>
        <w:bidi w:val="0"/>
        <w:snapToGrid/>
        <w:spacing w:line="560" w:lineRule="exact"/>
        <w:jc w:val="left"/>
        <w:textAlignment w:val="baseline"/>
        <w:rPr>
          <w:bCs/>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6D59015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在贵</w:t>
      </w:r>
      <w:r>
        <w:rPr>
          <w:rFonts w:hint="eastAsia" w:ascii="方正仿宋_GB2312" w:hAnsi="方正仿宋_GB2312" w:eastAsia="方正仿宋_GB2312" w:cs="方正仿宋_GB2312"/>
          <w:color w:val="000000"/>
          <w:sz w:val="24"/>
          <w:szCs w:val="24"/>
          <w:lang w:eastAsia="zh-CN"/>
        </w:rPr>
        <w:t>单位组织的</w:t>
      </w:r>
      <w:r>
        <w:rPr>
          <w:rFonts w:hint="eastAsia" w:ascii="方正仿宋_GB2312" w:hAnsi="方正仿宋_GB2312" w:eastAsia="方正仿宋_GB2312" w:cs="方正仿宋_GB2312"/>
          <w:color w:val="000000"/>
          <w:sz w:val="24"/>
          <w:szCs w:val="24"/>
        </w:rPr>
        <w:t>项目名称：     ，(项目编号：        ）</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中，我公司在完全理解本项目</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的服务要求、商务条款及其他内容后，决定参与该项目的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活动。并承诺如我公司有幸中</w:t>
      </w:r>
      <w:r>
        <w:rPr>
          <w:rFonts w:hint="eastAsia" w:ascii="方正仿宋_GB2312" w:hAnsi="方正仿宋_GB2312" w:eastAsia="方正仿宋_GB2312" w:cs="方正仿宋_GB2312"/>
          <w:color w:val="000000"/>
          <w:sz w:val="24"/>
          <w:szCs w:val="24"/>
          <w:lang w:eastAsia="zh-CN"/>
        </w:rPr>
        <w:t>选</w:t>
      </w:r>
      <w:r>
        <w:rPr>
          <w:rFonts w:hint="eastAsia" w:ascii="方正仿宋_GB2312" w:hAnsi="方正仿宋_GB2312" w:eastAsia="方正仿宋_GB2312" w:cs="方正仿宋_GB2312"/>
          <w:color w:val="000000"/>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p>
    <w:p w14:paraId="47021540">
      <w:pPr>
        <w:keepNext w:val="0"/>
        <w:keepLines w:val="0"/>
        <w:pageBreakBefore w:val="0"/>
        <w:widowControl w:val="0"/>
        <w:kinsoku/>
        <w:wordWrap/>
        <w:overflowPunct/>
        <w:topLinePunct w:val="0"/>
        <w:autoSpaceDE/>
        <w:autoSpaceDN/>
        <w:bidi w:val="0"/>
        <w:adjustRightInd/>
        <w:snapToGrid/>
        <w:spacing w:line="560" w:lineRule="exact"/>
        <w:ind w:firstLine="3840" w:firstLineChars="16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60" w:lineRule="exact"/>
        <w:ind w:firstLine="4320" w:firstLineChars="18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日期：  年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F60116">
      <w:pPr>
        <w:keepNext w:val="0"/>
        <w:keepLines w:val="0"/>
        <w:pageBreakBefore w:val="0"/>
        <w:kinsoku/>
        <w:wordWrap/>
        <w:overflowPunct/>
        <w:topLinePunct w:val="0"/>
        <w:bidi w:val="0"/>
        <w:snapToGrid/>
        <w:spacing w:line="560" w:lineRule="exact"/>
        <w:rPr>
          <w:rFonts w:hint="eastAsia"/>
          <w:color w:val="000000"/>
        </w:rPr>
      </w:pPr>
    </w:p>
    <w:p w14:paraId="351E08A6">
      <w:pPr>
        <w:keepNext w:val="0"/>
        <w:keepLines w:val="0"/>
        <w:pageBreakBefore w:val="0"/>
        <w:kinsoku/>
        <w:wordWrap/>
        <w:overflowPunct/>
        <w:topLinePunct w:val="0"/>
        <w:bidi w:val="0"/>
        <w:snapToGrid/>
        <w:spacing w:line="560" w:lineRule="exact"/>
        <w:rPr>
          <w:rFonts w:hint="eastAsia"/>
          <w:color w:val="000000"/>
        </w:rPr>
      </w:pPr>
    </w:p>
    <w:p w14:paraId="3D520837">
      <w:pPr>
        <w:keepNext w:val="0"/>
        <w:keepLines w:val="0"/>
        <w:pageBreakBefore w:val="0"/>
        <w:kinsoku/>
        <w:wordWrap/>
        <w:overflowPunct/>
        <w:topLinePunct w:val="0"/>
        <w:bidi w:val="0"/>
        <w:snapToGrid/>
        <w:spacing w:line="560" w:lineRule="exact"/>
        <w:rPr>
          <w:rFonts w:hint="eastAsia"/>
          <w:color w:val="000000"/>
        </w:rPr>
      </w:pPr>
    </w:p>
    <w:p w14:paraId="354B5816">
      <w:pPr>
        <w:keepNext w:val="0"/>
        <w:keepLines w:val="0"/>
        <w:pageBreakBefore w:val="0"/>
        <w:kinsoku/>
        <w:wordWrap/>
        <w:overflowPunct/>
        <w:topLinePunct w:val="0"/>
        <w:bidi w:val="0"/>
        <w:snapToGrid/>
        <w:spacing w:line="560" w:lineRule="exact"/>
        <w:rPr>
          <w:rFonts w:hint="eastAsia"/>
          <w:color w:val="000000"/>
        </w:rPr>
      </w:pPr>
    </w:p>
    <w:p w14:paraId="1EEBA1BB">
      <w:pPr>
        <w:keepNext w:val="0"/>
        <w:keepLines w:val="0"/>
        <w:pageBreakBefore w:val="0"/>
        <w:kinsoku/>
        <w:wordWrap/>
        <w:overflowPunct/>
        <w:topLinePunct w:val="0"/>
        <w:bidi w:val="0"/>
        <w:snapToGrid/>
        <w:spacing w:line="560" w:lineRule="exact"/>
        <w:rPr>
          <w:rFonts w:hint="eastAsia"/>
          <w:color w:val="000000"/>
        </w:rPr>
      </w:pPr>
    </w:p>
    <w:p w14:paraId="71D32F53">
      <w:pPr>
        <w:keepNext w:val="0"/>
        <w:keepLines w:val="0"/>
        <w:pageBreakBefore w:val="0"/>
        <w:kinsoku/>
        <w:wordWrap/>
        <w:overflowPunct/>
        <w:topLinePunct w:val="0"/>
        <w:bidi w:val="0"/>
        <w:snapToGrid/>
        <w:spacing w:line="560" w:lineRule="exact"/>
        <w:rPr>
          <w:rFonts w:hint="eastAsia"/>
          <w:color w:val="000000"/>
        </w:rPr>
      </w:pPr>
    </w:p>
    <w:p w14:paraId="2F5D54FE">
      <w:pPr>
        <w:keepNext w:val="0"/>
        <w:keepLines w:val="0"/>
        <w:pageBreakBefore w:val="0"/>
        <w:kinsoku/>
        <w:wordWrap/>
        <w:overflowPunct/>
        <w:topLinePunct w:val="0"/>
        <w:bidi w:val="0"/>
        <w:snapToGrid/>
        <w:spacing w:line="560" w:lineRule="exact"/>
        <w:rPr>
          <w:rFonts w:hint="eastAsia"/>
          <w:color w:val="000000"/>
        </w:rPr>
      </w:pPr>
    </w:p>
    <w:p w14:paraId="1C2E837B">
      <w:pPr>
        <w:keepNext w:val="0"/>
        <w:keepLines w:val="0"/>
        <w:pageBreakBefore w:val="0"/>
        <w:kinsoku/>
        <w:wordWrap/>
        <w:overflowPunct/>
        <w:topLinePunct w:val="0"/>
        <w:bidi w:val="0"/>
        <w:snapToGrid/>
        <w:spacing w:line="560" w:lineRule="exact"/>
        <w:rPr>
          <w:rFonts w:hint="eastAsia"/>
          <w:color w:val="000000"/>
        </w:rPr>
      </w:pPr>
    </w:p>
    <w:p w14:paraId="61197366">
      <w:pPr>
        <w:keepNext w:val="0"/>
        <w:keepLines w:val="0"/>
        <w:pageBreakBefore w:val="0"/>
        <w:kinsoku/>
        <w:wordWrap/>
        <w:overflowPunct/>
        <w:topLinePunct w:val="0"/>
        <w:bidi w:val="0"/>
        <w:snapToGrid/>
        <w:spacing w:line="560" w:lineRule="exact"/>
        <w:rPr>
          <w:rFonts w:hint="eastAsia"/>
          <w:color w:val="000000"/>
        </w:rPr>
      </w:pPr>
    </w:p>
    <w:p w14:paraId="712266E0">
      <w:pPr>
        <w:keepNext w:val="0"/>
        <w:keepLines w:val="0"/>
        <w:pageBreakBefore w:val="0"/>
        <w:kinsoku/>
        <w:wordWrap/>
        <w:overflowPunct/>
        <w:topLinePunct w:val="0"/>
        <w:bidi w:val="0"/>
        <w:snapToGrid/>
        <w:spacing w:line="560" w:lineRule="exact"/>
        <w:rPr>
          <w:rFonts w:hint="eastAsia"/>
          <w:color w:val="000000"/>
        </w:rPr>
      </w:pPr>
    </w:p>
    <w:p w14:paraId="38B4EF22">
      <w:pPr>
        <w:keepNext w:val="0"/>
        <w:keepLines w:val="0"/>
        <w:pageBreakBefore w:val="0"/>
        <w:kinsoku/>
        <w:wordWrap/>
        <w:overflowPunct/>
        <w:topLinePunct w:val="0"/>
        <w:bidi w:val="0"/>
        <w:snapToGrid/>
        <w:spacing w:line="560" w:lineRule="exact"/>
        <w:rPr>
          <w:rFonts w:hint="eastAsia"/>
          <w:color w:val="000000"/>
        </w:rPr>
      </w:pPr>
    </w:p>
    <w:p w14:paraId="6AD1FBEB">
      <w:pPr>
        <w:keepNext w:val="0"/>
        <w:keepLines w:val="0"/>
        <w:pageBreakBefore w:val="0"/>
        <w:kinsoku/>
        <w:wordWrap/>
        <w:overflowPunct/>
        <w:topLinePunct w:val="0"/>
        <w:bidi w:val="0"/>
        <w:snapToGrid/>
        <w:spacing w:line="560" w:lineRule="exact"/>
        <w:rPr>
          <w:rFonts w:hint="eastAsia"/>
          <w:color w:val="000000"/>
        </w:rPr>
      </w:pPr>
    </w:p>
    <w:p w14:paraId="04DDD5BC">
      <w:pPr>
        <w:pStyle w:val="6"/>
        <w:keepNext w:val="0"/>
        <w:keepLines w:val="0"/>
        <w:pageBreakBefore w:val="0"/>
        <w:kinsoku/>
        <w:wordWrap/>
        <w:overflowPunct/>
        <w:topLinePunct w:val="0"/>
        <w:bidi w:val="0"/>
        <w:snapToGrid/>
        <w:spacing w:before="75" w:beforeAutospacing="0" w:after="75" w:afterAutospacing="0" w:line="560"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A85439">
      <w:pPr>
        <w:pStyle w:val="3"/>
        <w:keepNext w:val="0"/>
        <w:keepLines w:val="0"/>
        <w:pageBreakBefore w:val="0"/>
        <w:kinsoku/>
        <w:wordWrap/>
        <w:overflowPunct/>
        <w:topLinePunct w:val="0"/>
        <w:bidi w:val="0"/>
        <w:snapToGrid/>
        <w:spacing w:line="560" w:lineRule="exact"/>
        <w:rPr>
          <w:rFonts w:hint="eastAsia"/>
        </w:rPr>
      </w:pPr>
    </w:p>
    <w:p w14:paraId="5393C0F9">
      <w:pPr>
        <w:pStyle w:val="6"/>
        <w:keepNext w:val="0"/>
        <w:keepLines w:val="0"/>
        <w:pageBreakBefore w:val="0"/>
        <w:kinsoku/>
        <w:wordWrap/>
        <w:overflowPunct/>
        <w:topLinePunct w:val="0"/>
        <w:bidi w:val="0"/>
        <w:snapToGrid/>
        <w:spacing w:before="75" w:beforeAutospacing="0" w:after="75" w:afterAutospacing="0" w:line="56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6"/>
        <w:keepNext w:val="0"/>
        <w:keepLines w:val="0"/>
        <w:pageBreakBefore w:val="0"/>
        <w:numPr>
          <w:ilvl w:val="0"/>
          <w:numId w:val="2"/>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293628FB">
      <w:pPr>
        <w:pStyle w:val="6"/>
        <w:keepNext w:val="0"/>
        <w:keepLines w:val="0"/>
        <w:pageBreakBefore w:val="0"/>
        <w:numPr>
          <w:ilvl w:val="0"/>
          <w:numId w:val="2"/>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257804EC">
      <w:pPr>
        <w:pStyle w:val="6"/>
        <w:keepNext w:val="0"/>
        <w:keepLines w:val="0"/>
        <w:pageBreakBefore w:val="0"/>
        <w:numPr>
          <w:ilvl w:val="0"/>
          <w:numId w:val="2"/>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217AB9F3">
      <w:pPr>
        <w:pStyle w:val="6"/>
        <w:keepNext w:val="0"/>
        <w:keepLines w:val="0"/>
        <w:pageBreakBefore w:val="0"/>
        <w:numPr>
          <w:ilvl w:val="0"/>
          <w:numId w:val="2"/>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685F2815">
      <w:pPr>
        <w:pStyle w:val="6"/>
        <w:keepNext w:val="0"/>
        <w:keepLines w:val="0"/>
        <w:pageBreakBefore w:val="0"/>
        <w:numPr>
          <w:ilvl w:val="0"/>
          <w:numId w:val="2"/>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1862D464">
      <w:pPr>
        <w:pStyle w:val="6"/>
        <w:keepNext w:val="0"/>
        <w:keepLines w:val="0"/>
        <w:pageBreakBefore w:val="0"/>
        <w:numPr>
          <w:ilvl w:val="0"/>
          <w:numId w:val="2"/>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255CC6AE">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449FE160">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r>
        <w:rPr>
          <w:rFonts w:hint="eastAsia" w:cs="Times New Roman"/>
          <w:bCs/>
          <w:color w:val="000000"/>
          <w:kern w:val="2"/>
        </w:rPr>
        <w:t xml:space="preserve">             </w:t>
      </w:r>
    </w:p>
    <w:p w14:paraId="54FE00E9">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p>
    <w:p w14:paraId="5FEAB6AC">
      <w:pPr>
        <w:pStyle w:val="6"/>
        <w:keepNext w:val="0"/>
        <w:keepLines w:val="0"/>
        <w:pageBreakBefore w:val="0"/>
        <w:kinsoku/>
        <w:wordWrap/>
        <w:overflowPunct/>
        <w:topLinePunct w:val="0"/>
        <w:bidi w:val="0"/>
        <w:snapToGrid/>
        <w:spacing w:before="75" w:beforeAutospacing="0" w:after="75" w:afterAutospacing="0" w:line="560"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848CAFB">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44B613B1">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4C5CA172">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F7761E3">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17415156">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60B125B7">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A49B9EE">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7AE125B5">
      <w:pPr>
        <w:pStyle w:val="5"/>
        <w:keepNext w:val="0"/>
        <w:keepLines w:val="0"/>
        <w:pageBreakBefore w:val="0"/>
        <w:kinsoku/>
        <w:wordWrap/>
        <w:overflowPunct/>
        <w:topLinePunct w:val="0"/>
        <w:bidi w:val="0"/>
        <w:snapToGrid/>
        <w:spacing w:line="560" w:lineRule="exact"/>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86D7B9-0979-499A-8EB7-05EAFCE19C5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8EA59D1-CEFB-4C37-9C73-214475FD5314}"/>
  </w:font>
  <w:font w:name="方正公文小标宋">
    <w:panose1 w:val="02000500000000000000"/>
    <w:charset w:val="86"/>
    <w:family w:val="auto"/>
    <w:pitch w:val="default"/>
    <w:sig w:usb0="A00002BF" w:usb1="38CF7CFA" w:usb2="00000016" w:usb3="00000000" w:csb0="00040001" w:csb1="00000000"/>
    <w:embedRegular r:id="rId3" w:fontKey="{E49DED8B-C3EA-4CC1-9AF8-FA1CB9DBEAAD}"/>
  </w:font>
  <w:font w:name="仿宋_GB2312">
    <w:panose1 w:val="02010609030101010101"/>
    <w:charset w:val="86"/>
    <w:family w:val="modern"/>
    <w:pitch w:val="default"/>
    <w:sig w:usb0="00000001" w:usb1="080E0000" w:usb2="00000000" w:usb3="00000000" w:csb0="00040000" w:csb1="00000000"/>
    <w:embedRegular r:id="rId4" w:fontKey="{200E2D22-4FA2-474C-8137-E495CED12B54}"/>
  </w:font>
  <w:font w:name="方正仿宋_GB2312">
    <w:panose1 w:val="02000000000000000000"/>
    <w:charset w:val="86"/>
    <w:family w:val="auto"/>
    <w:pitch w:val="default"/>
    <w:sig w:usb0="A00002BF" w:usb1="184F6CFA" w:usb2="00000012" w:usb3="00000000" w:csb0="00040001" w:csb1="00000000"/>
    <w:embedRegular r:id="rId5" w:fontKey="{6312104B-547B-4CE0-AFD3-DA752C45F685}"/>
  </w:font>
  <w:font w:name="仿宋">
    <w:panose1 w:val="02010609060101010101"/>
    <w:charset w:val="86"/>
    <w:family w:val="auto"/>
    <w:pitch w:val="default"/>
    <w:sig w:usb0="800002BF" w:usb1="38CF7CFA" w:usb2="00000016" w:usb3="00000000" w:csb0="00040001" w:csb1="00000000"/>
    <w:embedRegular r:id="rId6" w:fontKey="{1709900E-1428-4E2A-85B8-65EA0C2BA274}"/>
  </w:font>
  <w:font w:name="仿宋GB2312">
    <w:altName w:val="仿宋"/>
    <w:panose1 w:val="00000000000000000000"/>
    <w:charset w:val="00"/>
    <w:family w:val="auto"/>
    <w:pitch w:val="default"/>
    <w:sig w:usb0="00000000" w:usb1="00000000" w:usb2="00000000" w:usb3="00000000" w:csb0="00040001" w:csb1="00000000"/>
    <w:embedRegular r:id="rId7" w:fontKey="{6AA867F5-A0EE-451B-87B5-E6FABF027711}"/>
  </w:font>
  <w:font w:name="楷体">
    <w:panose1 w:val="02010609060101010101"/>
    <w:charset w:val="86"/>
    <w:family w:val="modern"/>
    <w:pitch w:val="default"/>
    <w:sig w:usb0="800002BF" w:usb1="38CF7CFA" w:usb2="00000016" w:usb3="00000000" w:csb0="00040001" w:csb1="00000000"/>
    <w:embedRegular r:id="rId8" w:fontKey="{C8719276-7701-42FC-9F81-DBB7E86DCAB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064489AD"/>
    <w:multiLevelType w:val="singleLevel"/>
    <w:tmpl w:val="064489A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0BC1F52"/>
    <w:rsid w:val="011E39B0"/>
    <w:rsid w:val="01392C22"/>
    <w:rsid w:val="01C83919"/>
    <w:rsid w:val="0269791B"/>
    <w:rsid w:val="03BE6B1F"/>
    <w:rsid w:val="04BA3523"/>
    <w:rsid w:val="04E672BC"/>
    <w:rsid w:val="054059B4"/>
    <w:rsid w:val="055811AB"/>
    <w:rsid w:val="05715487"/>
    <w:rsid w:val="05760E3B"/>
    <w:rsid w:val="06395E48"/>
    <w:rsid w:val="06B710D2"/>
    <w:rsid w:val="075924B0"/>
    <w:rsid w:val="080F54C1"/>
    <w:rsid w:val="0860786B"/>
    <w:rsid w:val="09D70571"/>
    <w:rsid w:val="0A321DFE"/>
    <w:rsid w:val="0AE143E9"/>
    <w:rsid w:val="0B495927"/>
    <w:rsid w:val="0BCC55C1"/>
    <w:rsid w:val="0D1A4077"/>
    <w:rsid w:val="0D303A2A"/>
    <w:rsid w:val="0D961B6A"/>
    <w:rsid w:val="106B1DB9"/>
    <w:rsid w:val="10E45B64"/>
    <w:rsid w:val="112D32AC"/>
    <w:rsid w:val="115911B3"/>
    <w:rsid w:val="11DD69C8"/>
    <w:rsid w:val="11F87087"/>
    <w:rsid w:val="121E608C"/>
    <w:rsid w:val="12AF5CBB"/>
    <w:rsid w:val="12E100A2"/>
    <w:rsid w:val="134F2672"/>
    <w:rsid w:val="13E27737"/>
    <w:rsid w:val="151439D2"/>
    <w:rsid w:val="16E830E2"/>
    <w:rsid w:val="16F71574"/>
    <w:rsid w:val="17D25A63"/>
    <w:rsid w:val="17E311AD"/>
    <w:rsid w:val="19397C9E"/>
    <w:rsid w:val="19401323"/>
    <w:rsid w:val="19514805"/>
    <w:rsid w:val="1A4934C7"/>
    <w:rsid w:val="1AE34C66"/>
    <w:rsid w:val="1AFC4348"/>
    <w:rsid w:val="1BC73061"/>
    <w:rsid w:val="1C776402"/>
    <w:rsid w:val="1D56621B"/>
    <w:rsid w:val="1D7772B0"/>
    <w:rsid w:val="1F5921CE"/>
    <w:rsid w:val="21ED5502"/>
    <w:rsid w:val="21F56D0A"/>
    <w:rsid w:val="22890C87"/>
    <w:rsid w:val="236B3CFD"/>
    <w:rsid w:val="238741C2"/>
    <w:rsid w:val="23970E14"/>
    <w:rsid w:val="26566EE0"/>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4D802AB"/>
    <w:rsid w:val="36B43CA6"/>
    <w:rsid w:val="37D12506"/>
    <w:rsid w:val="38123961"/>
    <w:rsid w:val="392361A2"/>
    <w:rsid w:val="3A2847BF"/>
    <w:rsid w:val="3AD20B96"/>
    <w:rsid w:val="3AD91537"/>
    <w:rsid w:val="3C3A01B7"/>
    <w:rsid w:val="3CFE2338"/>
    <w:rsid w:val="3D236B41"/>
    <w:rsid w:val="3DC3612A"/>
    <w:rsid w:val="3DCB7644"/>
    <w:rsid w:val="3E4F25BA"/>
    <w:rsid w:val="40A10A0D"/>
    <w:rsid w:val="41AF0D12"/>
    <w:rsid w:val="41F75163"/>
    <w:rsid w:val="42C30EE7"/>
    <w:rsid w:val="43145DB4"/>
    <w:rsid w:val="43562515"/>
    <w:rsid w:val="445B21D4"/>
    <w:rsid w:val="44B60029"/>
    <w:rsid w:val="45791ECA"/>
    <w:rsid w:val="45F42729"/>
    <w:rsid w:val="45F62DD6"/>
    <w:rsid w:val="48A12FDB"/>
    <w:rsid w:val="48CE7996"/>
    <w:rsid w:val="49F607E8"/>
    <w:rsid w:val="503508BB"/>
    <w:rsid w:val="52254DEC"/>
    <w:rsid w:val="52DA7FFA"/>
    <w:rsid w:val="547E1A84"/>
    <w:rsid w:val="549B50DF"/>
    <w:rsid w:val="55821582"/>
    <w:rsid w:val="5642390C"/>
    <w:rsid w:val="564D60A4"/>
    <w:rsid w:val="56D119AE"/>
    <w:rsid w:val="56EC1578"/>
    <w:rsid w:val="56EC1DD7"/>
    <w:rsid w:val="572C382B"/>
    <w:rsid w:val="57584816"/>
    <w:rsid w:val="580F778E"/>
    <w:rsid w:val="59861515"/>
    <w:rsid w:val="5AA44B24"/>
    <w:rsid w:val="5AD47EB1"/>
    <w:rsid w:val="5AF97062"/>
    <w:rsid w:val="5B2C260E"/>
    <w:rsid w:val="5CAC29FB"/>
    <w:rsid w:val="5F67483F"/>
    <w:rsid w:val="5FE86FDF"/>
    <w:rsid w:val="60621B53"/>
    <w:rsid w:val="60D64762"/>
    <w:rsid w:val="61173CD8"/>
    <w:rsid w:val="61936542"/>
    <w:rsid w:val="648F17F0"/>
    <w:rsid w:val="64AC39EF"/>
    <w:rsid w:val="65B754E7"/>
    <w:rsid w:val="65DD0872"/>
    <w:rsid w:val="65F063C1"/>
    <w:rsid w:val="66236FA2"/>
    <w:rsid w:val="662D69CA"/>
    <w:rsid w:val="663C7C5F"/>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633753"/>
    <w:rsid w:val="77037F25"/>
    <w:rsid w:val="774D7580"/>
    <w:rsid w:val="78DA77C6"/>
    <w:rsid w:val="79C530F6"/>
    <w:rsid w:val="79D974F4"/>
    <w:rsid w:val="79F67186"/>
    <w:rsid w:val="7A3C062F"/>
    <w:rsid w:val="7B294ABD"/>
    <w:rsid w:val="7B5D1505"/>
    <w:rsid w:val="7B8E319C"/>
    <w:rsid w:val="7BA61555"/>
    <w:rsid w:val="7CE401F1"/>
    <w:rsid w:val="7D4A1795"/>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unhideWhenUsed/>
    <w:qFormat/>
    <w:uiPriority w:val="99"/>
    <w:pPr>
      <w:spacing w:after="120"/>
    </w:pPr>
  </w:style>
  <w:style w:type="paragraph" w:styleId="4">
    <w:name w:val="Plain Text"/>
    <w:basedOn w:val="1"/>
    <w:qFormat/>
    <w:uiPriority w:val="0"/>
    <w:rPr>
      <w:rFonts w:hAnsi="Courier New"/>
      <w:szCs w:val="20"/>
    </w:rPr>
  </w:style>
  <w:style w:type="paragraph" w:styleId="5">
    <w:name w:val="toc 1"/>
    <w:basedOn w:val="1"/>
    <w:next w:val="1"/>
    <w:qFormat/>
    <w:uiPriority w:val="0"/>
    <w:rPr>
      <w:rFonts w:ascii="Times New Roman" w:hAnsi="Times New Roman"/>
      <w:szCs w:val="24"/>
    </w:rPr>
  </w:style>
  <w:style w:type="paragraph" w:styleId="6">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7">
    <w:name w:val="Body Text First Indent"/>
    <w:basedOn w:val="3"/>
    <w:qFormat/>
    <w:uiPriority w:val="99"/>
    <w:pPr>
      <w:ind w:firstLine="420" w:firstLineChars="100"/>
    </w:pPr>
    <w:rPr>
      <w:rFonts w:ascii="Times New Roman" w:hAnsi="Times New Roman"/>
      <w:szCs w:val="24"/>
      <w:lang w:val="en-US" w:eastAsia="zh-CN"/>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paragraph" w:styleId="13">
    <w:name w:val="List Paragraph"/>
    <w:basedOn w:val="1"/>
    <w:qFormat/>
    <w:uiPriority w:val="34"/>
    <w:pPr>
      <w:ind w:firstLine="420" w:firstLineChars="200"/>
    </w:pPr>
  </w:style>
  <w:style w:type="character" w:customStyle="1" w:styleId="14">
    <w:name w:val="NormalCharacter"/>
    <w:semiHidden/>
    <w:qFormat/>
    <w:uiPriority w:val="0"/>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character" w:customStyle="1" w:styleId="17">
    <w:name w:val="font41"/>
    <w:basedOn w:val="10"/>
    <w:qFormat/>
    <w:uiPriority w:val="0"/>
    <w:rPr>
      <w:rFonts w:hint="eastAsia" w:ascii="宋体" w:hAnsi="宋体" w:eastAsia="宋体" w:cs="宋体"/>
      <w:color w:val="000000"/>
      <w:sz w:val="20"/>
      <w:szCs w:val="20"/>
      <w:u w:val="none"/>
    </w:rPr>
  </w:style>
  <w:style w:type="character" w:customStyle="1" w:styleId="18">
    <w:name w:val="font11"/>
    <w:basedOn w:val="10"/>
    <w:qFormat/>
    <w:uiPriority w:val="0"/>
    <w:rPr>
      <w:rFonts w:hint="eastAsia" w:ascii="宋体" w:hAnsi="宋体" w:eastAsia="宋体" w:cs="宋体"/>
      <w:color w:val="000000"/>
      <w:sz w:val="20"/>
      <w:szCs w:val="20"/>
      <w:u w:val="none"/>
    </w:rPr>
  </w:style>
  <w:style w:type="character" w:customStyle="1" w:styleId="19">
    <w:name w:val="font71"/>
    <w:basedOn w:val="10"/>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5002</Words>
  <Characters>5133</Characters>
  <Lines>0</Lines>
  <Paragraphs>0</Paragraphs>
  <TotalTime>5</TotalTime>
  <ScaleCrop>false</ScaleCrop>
  <LinksUpToDate>false</LinksUpToDate>
  <CharactersWithSpaces>5972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2025-03-21T03:40:00Z</cp:lastPrinted>
  <dcterms:modified xsi:type="dcterms:W3CDTF">2026-02-27T01:06:46Z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C08B904521384CA4B3DA721ACE54B2CD_13</vt:lpwstr>
  </property>
  <property fmtid="{D5CDD505-2E9C-101B-9397-08002B2CF9AE}" pid="4" name="KSOTemplateDocerSaveRecord">
    <vt:lpwstr>eyJoZGlkIjoiZDJhNDQyODc4MTEzYTJiYmQ0OWU4NzRmOWJhOGY1ZjEiLCJ1c2VySWQiOiIxNDU5MDA4NDU0In0=</vt:lpwstr>
  </property>
</Properties>
</file>