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00B287">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仿宋" w:hAnsi="仿宋" w:eastAsia="仿宋" w:cs="仿宋"/>
          <w:color w:val="000000"/>
          <w:kern w:val="0"/>
          <w:sz w:val="32"/>
          <w:szCs w:val="32"/>
          <w:shd w:val="clear" w:fill="FFFFFF"/>
          <w:lang w:val="en-US" w:eastAsia="zh-CN" w:bidi="ar"/>
        </w:rPr>
        <w:t>根据《省发展改革委关于进一步组织做好电网企业代理购电工作有关事项的通知（黔发改价格[2023]497号）》等相关文件精神，结合医院实际情况。为降低医院用电成本，规范购电流程，保障医院用电稳定供应，现决定以院内比选方式遴选售电公司代理医院购电业务，欢迎符合资质的公司参加比选，现将比选有关事项公告如下：</w:t>
      </w:r>
    </w:p>
    <w:p w14:paraId="201EFD07">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普定县中医医院购电代理服务商遴选项目</w:t>
      </w:r>
    </w:p>
    <w:p w14:paraId="2F78CE4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ZY20260004</w:t>
      </w:r>
    </w:p>
    <w:p w14:paraId="6FF37DD8">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bookmarkStart w:id="2" w:name="_GoBack"/>
      <w:bookmarkEnd w:id="2"/>
    </w:p>
    <w:p w14:paraId="5496F475">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南方电网指导基础电价+其他固定费用</w:t>
      </w:r>
    </w:p>
    <w:p w14:paraId="4D891D9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2026年3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2026</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；请符合资质要求、有意参选的公司法定代表人或委托代理人在公示期内（正常上班时间）到普定县中医医院招采办（普定县中医医院后勤楼二楼）报名，报名时提供比选文件预审核。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拟2026年3月18日下午14:30，如有变动，另行通知。</w:t>
      </w:r>
    </w:p>
    <w:p w14:paraId="756F007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附件1.普定县中医医院设备、物资、服务院内比选参选须知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2.项目要求</w:t>
      </w:r>
    </w:p>
    <w:p w14:paraId="7FE8E57B">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56B97B2F">
      <w:pPr>
        <w:pStyle w:val="6"/>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6B2F34BB">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GB2312" w:hAnsi="仿宋GB2312" w:eastAsia="仿宋GB2312" w:cs="仿宋GB2312"/>
          <w:b w:val="0"/>
          <w:bCs w:val="0"/>
          <w:color w:val="000000"/>
          <w:sz w:val="32"/>
          <w:szCs w:val="32"/>
          <w:lang w:val="en-US" w:eastAsia="zh-CN"/>
        </w:rPr>
      </w:pPr>
      <w:r>
        <w:rPr>
          <w:rFonts w:hint="eastAsia" w:ascii="仿宋" w:hAnsi="仿宋" w:eastAsia="仿宋" w:cs="仿宋"/>
          <w:sz w:val="32"/>
          <w:szCs w:val="32"/>
          <w:lang w:val="en-US" w:eastAsia="zh-CN"/>
        </w:rPr>
        <w:t>（联系人及电话：</w:t>
      </w:r>
      <w:r>
        <w:rPr>
          <w:rFonts w:hint="eastAsia" w:ascii="仿宋GB2312" w:hAnsi="仿宋GB2312" w:eastAsia="仿宋GB2312" w:cs="仿宋GB2312"/>
          <w:b w:val="0"/>
          <w:bCs w:val="0"/>
          <w:color w:val="000000"/>
          <w:sz w:val="32"/>
          <w:szCs w:val="32"/>
          <w:lang w:eastAsia="zh-CN"/>
        </w:rPr>
        <w:t xml:space="preserve">招采办   </w:t>
      </w:r>
      <w:r>
        <w:rPr>
          <w:rFonts w:hint="eastAsia" w:ascii="仿宋GB2312" w:hAnsi="仿宋GB2312" w:eastAsia="仿宋GB2312" w:cs="仿宋GB2312"/>
          <w:b w:val="0"/>
          <w:bCs w:val="0"/>
          <w:color w:val="000000"/>
          <w:sz w:val="32"/>
          <w:szCs w:val="32"/>
          <w:lang w:val="en-US" w:eastAsia="zh-CN"/>
        </w:rPr>
        <w:t>0851-38223169</w:t>
      </w:r>
    </w:p>
    <w:p w14:paraId="77414756">
      <w:pPr>
        <w:keepNext w:val="0"/>
        <w:keepLines w:val="0"/>
        <w:pageBreakBefore w:val="0"/>
        <w:widowControl/>
        <w:kinsoku/>
        <w:wordWrap/>
        <w:overflowPunct/>
        <w:topLinePunct w:val="0"/>
        <w:autoSpaceDE/>
        <w:autoSpaceDN/>
        <w:bidi w:val="0"/>
        <w:adjustRightInd/>
        <w:snapToGrid/>
        <w:spacing w:line="360" w:lineRule="auto"/>
        <w:ind w:firstLine="3200" w:firstLineChars="1000"/>
        <w:jc w:val="left"/>
        <w:textAlignment w:val="auto"/>
        <w:rPr>
          <w:rFonts w:hint="eastAsia" w:ascii="仿宋_GB2312" w:hAnsi="仿宋_GB2312" w:eastAsia="仿宋_GB2312" w:cs="仿宋_GB2312"/>
          <w:sz w:val="32"/>
          <w:szCs w:val="32"/>
          <w:lang w:val="en-US" w:eastAsia="zh-CN"/>
        </w:rPr>
      </w:pPr>
      <w:r>
        <w:rPr>
          <w:rFonts w:hint="eastAsia" w:ascii="仿宋GB2312" w:hAnsi="仿宋GB2312" w:eastAsia="仿宋GB2312" w:cs="仿宋GB2312"/>
          <w:b w:val="0"/>
          <w:bCs w:val="0"/>
          <w:color w:val="000000"/>
          <w:sz w:val="32"/>
          <w:szCs w:val="32"/>
          <w:lang w:val="en-US" w:eastAsia="zh-CN"/>
        </w:rPr>
        <w:t>纪检室   0851-38229719</w:t>
      </w:r>
      <w:r>
        <w:rPr>
          <w:rFonts w:hint="eastAsia" w:ascii="仿宋" w:hAnsi="仿宋" w:eastAsia="仿宋" w:cs="仿宋"/>
          <w:sz w:val="32"/>
          <w:szCs w:val="32"/>
          <w:lang w:val="en-US" w:eastAsia="zh-CN"/>
        </w:rPr>
        <w:t>）</w:t>
      </w:r>
    </w:p>
    <w:p w14:paraId="2EE728E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46A43849">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2809CDB8">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137A969E">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2026年3月10日 </w:t>
      </w:r>
      <w:r>
        <w:rPr>
          <w:rFonts w:hint="eastAsia" w:ascii="仿宋_GB2312" w:hAnsi="仿宋_GB2312" w:eastAsia="仿宋_GB2312" w:cs="仿宋_GB2312"/>
          <w:sz w:val="32"/>
          <w:szCs w:val="32"/>
          <w:lang w:val="en-US" w:eastAsia="zh-CN"/>
        </w:rPr>
        <w:t xml:space="preserve">  </w:t>
      </w:r>
    </w:p>
    <w:p w14:paraId="32E973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4F6629A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A65ECE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普定县中医医院设备、物资、服务院内比选</w:t>
      </w:r>
    </w:p>
    <w:p w14:paraId="16A5AB02">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rPr>
      </w:pPr>
    </w:p>
    <w:p w14:paraId="21B5ED49">
      <w:pPr>
        <w:keepNext w:val="0"/>
        <w:keepLines w:val="0"/>
        <w:pageBreakBefore w:val="0"/>
        <w:widowControl w:val="0"/>
        <w:numPr>
          <w:ilvl w:val="0"/>
          <w:numId w:val="1"/>
        </w:numPr>
        <w:tabs>
          <w:tab w:val="left" w:pos="7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0539B508">
      <w:pPr>
        <w:keepNext w:val="0"/>
        <w:keepLines w:val="0"/>
        <w:pageBreakBefore w:val="0"/>
        <w:widowControl w:val="0"/>
        <w:numPr>
          <w:ilvl w:val="0"/>
          <w:numId w:val="0"/>
        </w:numPr>
        <w:tabs>
          <w:tab w:val="left" w:pos="7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000000"/>
          <w:sz w:val="32"/>
          <w:szCs w:val="32"/>
          <w:shd w:val="clear" w:fill="FFFFFF"/>
          <w:lang w:eastAsia="zh-CN"/>
        </w:rPr>
      </w:pPr>
      <w:r>
        <w:rPr>
          <w:rFonts w:hint="eastAsia" w:ascii="仿宋" w:hAnsi="仿宋" w:eastAsia="仿宋" w:cs="仿宋"/>
          <w:color w:val="000000"/>
          <w:sz w:val="32"/>
          <w:szCs w:val="32"/>
          <w:shd w:val="clear" w:fill="FFFFFF"/>
          <w:lang w:val="en-US" w:eastAsia="zh-CN"/>
        </w:rPr>
        <w:t>1.</w:t>
      </w:r>
      <w:r>
        <w:rPr>
          <w:rFonts w:hint="eastAsia" w:ascii="仿宋" w:hAnsi="仿宋" w:eastAsia="仿宋" w:cs="仿宋"/>
          <w:color w:val="000000"/>
          <w:sz w:val="32"/>
          <w:szCs w:val="32"/>
          <w:shd w:val="clear" w:fill="FFFFFF"/>
        </w:rPr>
        <w:t>依法取得独立法人资格，持有有效的营业执照及售电业务相关资质证书，且资质证书年检合格</w:t>
      </w:r>
      <w:r>
        <w:rPr>
          <w:rFonts w:hint="eastAsia" w:ascii="仿宋" w:hAnsi="仿宋" w:eastAsia="仿宋" w:cs="仿宋"/>
          <w:color w:val="000000"/>
          <w:sz w:val="32"/>
          <w:szCs w:val="32"/>
          <w:shd w:val="clear" w:fill="FFFFFF"/>
          <w:lang w:eastAsia="zh-CN"/>
        </w:rPr>
        <w:t>；</w:t>
      </w:r>
    </w:p>
    <w:p w14:paraId="30EFDE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shd w:val="clear" w:fill="FFFFFF"/>
          <w:lang w:val="en-US" w:eastAsia="zh-CN"/>
        </w:rPr>
        <w:t>2.</w:t>
      </w:r>
      <w:r>
        <w:rPr>
          <w:rFonts w:hint="eastAsia" w:ascii="仿宋" w:hAnsi="仿宋" w:eastAsia="仿宋" w:cs="仿宋"/>
          <w:color w:val="000000"/>
          <w:sz w:val="32"/>
          <w:szCs w:val="32"/>
          <w:shd w:val="clear" w:fill="FFFFFF"/>
        </w:rPr>
        <w:t>符合《关于组织开展 2026 年贵州电力中长期市场年度交易的通知》（黔电交易〔2025〕118 号）、《贵州省 2026 年电力市场化交易实施方案》中规定的电力交易主体准入条件</w:t>
      </w:r>
      <w:r>
        <w:rPr>
          <w:rFonts w:hint="eastAsia" w:ascii="仿宋" w:hAnsi="仿宋" w:eastAsia="仿宋" w:cs="仿宋"/>
          <w:color w:val="000000"/>
          <w:sz w:val="32"/>
          <w:szCs w:val="32"/>
          <w:shd w:val="clear" w:fill="FFFFFF"/>
          <w:lang w:eastAsia="zh-CN"/>
        </w:rPr>
        <w:t>；</w:t>
      </w:r>
    </w:p>
    <w:p w14:paraId="5FEA03E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color w:val="000000"/>
          <w:sz w:val="32"/>
          <w:szCs w:val="32"/>
          <w:shd w:val="clear" w:fill="FFFFFF"/>
          <w:lang w:eastAsia="zh-CN"/>
        </w:rPr>
      </w:pPr>
      <w:r>
        <w:rPr>
          <w:rFonts w:hint="eastAsia" w:ascii="仿宋" w:hAnsi="仿宋" w:eastAsia="仿宋" w:cs="仿宋"/>
          <w:color w:val="000000"/>
          <w:sz w:val="32"/>
          <w:szCs w:val="32"/>
          <w:shd w:val="clear" w:fill="FFFFFF"/>
          <w:lang w:val="en-US" w:eastAsia="zh-CN"/>
        </w:rPr>
        <w:t>3.</w:t>
      </w:r>
      <w:r>
        <w:rPr>
          <w:rFonts w:hint="eastAsia" w:ascii="仿宋" w:hAnsi="仿宋" w:eastAsia="仿宋" w:cs="仿宋"/>
          <w:color w:val="000000"/>
          <w:sz w:val="32"/>
          <w:szCs w:val="32"/>
          <w:shd w:val="clear" w:fill="FFFFFF"/>
        </w:rPr>
        <w:t>近 3 年内无重大电力交易违约记录、无违法违规经营记录，未被列入相关部门失信被执行人名单</w:t>
      </w:r>
      <w:r>
        <w:rPr>
          <w:rFonts w:hint="eastAsia" w:ascii="仿宋" w:hAnsi="仿宋" w:eastAsia="仿宋" w:cs="仿宋"/>
          <w:color w:val="000000"/>
          <w:sz w:val="32"/>
          <w:szCs w:val="32"/>
          <w:shd w:val="clear" w:fill="FFFFFF"/>
          <w:lang w:eastAsia="zh-CN"/>
        </w:rPr>
        <w:t>；</w:t>
      </w:r>
    </w:p>
    <w:p w14:paraId="58CAFA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 w:hAnsi="仿宋" w:eastAsia="仿宋" w:cs="仿宋"/>
          <w:b/>
          <w:bCs/>
          <w:color w:val="000000"/>
          <w:sz w:val="32"/>
          <w:szCs w:val="32"/>
          <w:lang w:val="en-US" w:eastAsia="zh-CN"/>
        </w:rPr>
      </w:pP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rPr>
        <w:t>具备承接医院2026年度购电业务的服务能力，有明确保障措施</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最近一期信用评级为AAA级别，全网年代购电体量大于等于50亿千瓦时；</w:t>
      </w:r>
    </w:p>
    <w:p w14:paraId="7713E10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3" w:firstLineChars="200"/>
        <w:jc w:val="left"/>
        <w:textAlignment w:val="auto"/>
        <w:rPr>
          <w:rFonts w:hint="eastAsia" w:ascii="仿宋" w:hAnsi="仿宋" w:eastAsia="仿宋" w:cs="仿宋"/>
          <w:color w:val="000000"/>
          <w:sz w:val="32"/>
          <w:szCs w:val="32"/>
        </w:rPr>
      </w:pPr>
      <w:r>
        <w:rPr>
          <w:rFonts w:hint="eastAsia" w:ascii="仿宋" w:hAnsi="仿宋" w:eastAsia="仿宋" w:cs="仿宋"/>
          <w:b/>
          <w:bCs/>
          <w:color w:val="000000"/>
          <w:sz w:val="32"/>
          <w:szCs w:val="32"/>
          <w:lang w:val="en-US" w:eastAsia="zh-CN"/>
        </w:rPr>
        <w:t>5.</w:t>
      </w:r>
      <w:r>
        <w:rPr>
          <w:rFonts w:hint="eastAsia" w:ascii="仿宋" w:hAnsi="仿宋" w:eastAsia="仿宋" w:cs="仿宋"/>
          <w:color w:val="000000"/>
          <w:sz w:val="32"/>
          <w:szCs w:val="32"/>
          <w:shd w:val="clear" w:fill="FFFFFF"/>
        </w:rPr>
        <w:t>法律法规规定的其他条件。</w:t>
      </w:r>
    </w:p>
    <w:p w14:paraId="4F6EB15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sz w:val="32"/>
          <w:szCs w:val="32"/>
        </w:rPr>
        <w:t>二、</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(装订成册)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433B2A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000000"/>
          <w:sz w:val="32"/>
          <w:szCs w:val="32"/>
          <w:shd w:val="clear" w:fill="FFFFFF"/>
        </w:rPr>
        <w:t>供应商基本情况介绍</w:t>
      </w:r>
    </w:p>
    <w:p w14:paraId="3DAF71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2</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报价表（</w:t>
      </w:r>
      <w:r>
        <w:rPr>
          <w:rFonts w:hint="eastAsia" w:ascii="方正仿宋_GB2312" w:hAnsi="方正仿宋_GB2312" w:eastAsia="方正仿宋_GB2312" w:cs="方正仿宋_GB2312"/>
          <w:sz w:val="32"/>
          <w:szCs w:val="32"/>
          <w:lang w:val="en-US" w:eastAsia="zh-CN"/>
        </w:rPr>
        <w:t>在项目预算基础下降</w:t>
      </w:r>
      <w:r>
        <w:rPr>
          <w:rFonts w:hint="eastAsia" w:ascii="仿宋" w:hAnsi="仿宋" w:eastAsia="仿宋" w:cs="仿宋"/>
          <w:color w:val="000000"/>
          <w:sz w:val="32"/>
          <w:szCs w:val="32"/>
          <w:shd w:val="clear" w:fill="FFFFFF"/>
        </w:rPr>
        <w:t>）</w:t>
      </w:r>
    </w:p>
    <w:p w14:paraId="73ABC7C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3</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参选供应商资质证明材料</w:t>
      </w:r>
    </w:p>
    <w:p w14:paraId="4C9B23C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4</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服务方案偏离表</w:t>
      </w:r>
    </w:p>
    <w:p w14:paraId="3725109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5</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售后保障承诺（含用电咨询、故障响应、电价调整配合机制等）</w:t>
      </w:r>
    </w:p>
    <w:p w14:paraId="608CDAD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right="0" w:rightChars="0" w:firstLine="640" w:firstLineChars="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lang w:val="en-US" w:eastAsia="zh-CN"/>
        </w:rPr>
        <w:t>6</w:t>
      </w:r>
      <w:r>
        <w:rPr>
          <w:rFonts w:hint="eastAsia" w:ascii="仿宋" w:hAnsi="仿宋" w:eastAsia="仿宋" w:cs="仿宋"/>
          <w:color w:val="000000"/>
          <w:sz w:val="32"/>
          <w:szCs w:val="32"/>
          <w:shd w:val="clear" w:fill="FFFFFF"/>
          <w:lang w:eastAsia="zh-CN"/>
        </w:rPr>
        <w:t>）</w:t>
      </w:r>
      <w:r>
        <w:rPr>
          <w:rFonts w:hint="eastAsia" w:ascii="仿宋" w:hAnsi="仿宋" w:eastAsia="仿宋" w:cs="仿宋"/>
          <w:color w:val="000000"/>
          <w:sz w:val="32"/>
          <w:szCs w:val="32"/>
          <w:shd w:val="clear" w:fill="FFFFFF"/>
        </w:rPr>
        <w:t>业绩证明材料（提供近</w:t>
      </w:r>
      <w:r>
        <w:rPr>
          <w:rFonts w:hint="eastAsia" w:ascii="仿宋" w:hAnsi="仿宋" w:eastAsia="仿宋" w:cs="仿宋"/>
          <w:color w:val="000000"/>
          <w:sz w:val="32"/>
          <w:szCs w:val="32"/>
          <w:shd w:val="clear" w:fill="FFFFFF"/>
          <w:lang w:val="en-US" w:eastAsia="zh-CN"/>
        </w:rPr>
        <w:t>1</w:t>
      </w:r>
      <w:r>
        <w:rPr>
          <w:rFonts w:hint="eastAsia" w:ascii="仿宋" w:hAnsi="仿宋" w:eastAsia="仿宋" w:cs="仿宋"/>
          <w:color w:val="000000"/>
          <w:sz w:val="32"/>
          <w:szCs w:val="32"/>
          <w:shd w:val="clear" w:fill="FFFFFF"/>
        </w:rPr>
        <w:t>年同类购电代理合同或者中标通知书）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w:t>
      </w:r>
      <w:r>
        <w:rPr>
          <w:rFonts w:hint="eastAsia" w:ascii="仿宋" w:hAnsi="仿宋" w:eastAsia="仿宋" w:cs="仿宋"/>
          <w:sz w:val="32"/>
          <w:szCs w:val="32"/>
          <w:lang w:eastAsia="zh-CN"/>
        </w:rPr>
        <w:t>小于等于</w:t>
      </w:r>
      <w:r>
        <w:rPr>
          <w:rFonts w:hint="eastAsia" w:ascii="仿宋" w:hAnsi="仿宋" w:eastAsia="仿宋" w:cs="仿宋"/>
          <w:sz w:val="32"/>
          <w:szCs w:val="32"/>
          <w:lang w:val="en-US" w:eastAsia="zh-CN"/>
        </w:rPr>
        <w:t>预算价。报价</w:t>
      </w:r>
      <w:r>
        <w:rPr>
          <w:rFonts w:hint="eastAsia" w:ascii="仿宋" w:hAnsi="仿宋" w:eastAsia="仿宋" w:cs="仿宋"/>
          <w:sz w:val="32"/>
          <w:szCs w:val="32"/>
        </w:rPr>
        <w:t>包括所有费用在内的实际</w:t>
      </w:r>
      <w:r>
        <w:rPr>
          <w:rFonts w:hint="eastAsia" w:ascii="仿宋" w:hAnsi="仿宋" w:eastAsia="仿宋" w:cs="仿宋"/>
          <w:sz w:val="32"/>
          <w:szCs w:val="32"/>
          <w:lang w:eastAsia="zh-CN"/>
        </w:rPr>
        <w:t>交易电价，</w:t>
      </w:r>
      <w:r>
        <w:rPr>
          <w:rFonts w:hint="eastAsia" w:ascii="仿宋" w:hAnsi="仿宋" w:eastAsia="仿宋" w:cs="仿宋"/>
          <w:color w:val="000000"/>
          <w:kern w:val="0"/>
          <w:sz w:val="32"/>
          <w:szCs w:val="32"/>
          <w:shd w:val="clear" w:fill="FFFFFF"/>
          <w:lang w:val="en-US" w:eastAsia="zh-CN" w:bidi="ar"/>
        </w:rPr>
        <w:t>明确偏差考核费用、交易手续费的承担方。</w:t>
      </w:r>
    </w:p>
    <w:p w14:paraId="3D4A68D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服务能力</w:t>
      </w:r>
      <w:r>
        <w:rPr>
          <w:rFonts w:hint="eastAsia" w:ascii="仿宋" w:hAnsi="仿宋" w:eastAsia="仿宋" w:cs="仿宋"/>
          <w:sz w:val="32"/>
          <w:szCs w:val="32"/>
        </w:rPr>
        <w:t>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三</w:t>
      </w:r>
      <w:r>
        <w:rPr>
          <w:rFonts w:hint="eastAsia" w:ascii="仿宋" w:hAnsi="仿宋" w:eastAsia="仿宋" w:cs="仿宋"/>
          <w:sz w:val="32"/>
          <w:szCs w:val="32"/>
        </w:rPr>
        <w:t>、</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四、现场评选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五</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六</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keepNext w:val="0"/>
        <w:keepLines w:val="0"/>
        <w:pageBreakBefore w:val="0"/>
        <w:tabs>
          <w:tab w:val="left" w:pos="756"/>
        </w:tabs>
        <w:kinsoku/>
        <w:wordWrap/>
        <w:overflowPunct/>
        <w:topLinePunct w:val="0"/>
        <w:bidi w:val="0"/>
        <w:snapToGrid/>
        <w:spacing w:line="560" w:lineRule="exact"/>
        <w:rPr>
          <w:rFonts w:hint="eastAsia" w:ascii="仿宋" w:hAnsi="仿宋" w:eastAsia="仿宋" w:cs="仿宋"/>
          <w:sz w:val="32"/>
          <w:szCs w:val="32"/>
          <w:lang w:eastAsia="zh-CN"/>
        </w:rPr>
      </w:pPr>
    </w:p>
    <w:p w14:paraId="784DA010">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3E8463F6">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4F55BDA8">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CC3570C">
      <w:pPr>
        <w:keepNext w:val="0"/>
        <w:keepLines w:val="0"/>
        <w:pageBreakBefore w:val="0"/>
        <w:tabs>
          <w:tab w:val="left" w:pos="756"/>
        </w:tabs>
        <w:kinsoku/>
        <w:wordWrap/>
        <w:overflowPunct/>
        <w:topLinePunct w:val="0"/>
        <w:bidi w:val="0"/>
        <w:snapToGrid/>
        <w:spacing w:line="560" w:lineRule="exact"/>
        <w:ind w:firstLine="640" w:firstLineChars="200"/>
        <w:rPr>
          <w:rFonts w:hint="eastAsia" w:ascii="仿宋" w:hAnsi="仿宋" w:eastAsia="仿宋" w:cs="仿宋"/>
          <w:sz w:val="32"/>
          <w:szCs w:val="32"/>
          <w:lang w:val="en-US" w:eastAsia="zh-CN"/>
        </w:rPr>
      </w:pPr>
    </w:p>
    <w:p w14:paraId="2AB1E19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11D9CA3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14:paraId="47D9D8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tLeast"/>
        <w:ind w:left="420" w:leftChars="0" w:right="0" w:firstLine="881" w:firstLineChars="200"/>
        <w:jc w:val="center"/>
        <w:textAlignment w:val="auto"/>
        <w:rPr>
          <w:rFonts w:hint="eastAsia" w:ascii="方正公文小标宋" w:hAnsi="方正公文小标宋" w:eastAsia="方正公文小标宋" w:cs="方正公文小标宋"/>
          <w:color w:val="000000"/>
          <w:sz w:val="44"/>
          <w:szCs w:val="44"/>
          <w:shd w:val="clear" w:fill="FFFFFF"/>
        </w:rPr>
      </w:pPr>
      <w:r>
        <w:rPr>
          <w:rFonts w:hint="eastAsia" w:ascii="方正公文小标宋" w:hAnsi="方正公文小标宋" w:eastAsia="方正公文小标宋" w:cs="方正公文小标宋"/>
          <w:color w:val="000000"/>
          <w:sz w:val="44"/>
          <w:szCs w:val="44"/>
          <w:shd w:val="clear" w:fill="FFFFFF"/>
          <w:lang w:eastAsia="zh-CN"/>
        </w:rPr>
        <w:t>项目</w:t>
      </w:r>
      <w:r>
        <w:rPr>
          <w:rFonts w:hint="eastAsia" w:ascii="方正公文小标宋" w:hAnsi="方正公文小标宋" w:eastAsia="方正公文小标宋" w:cs="方正公文小标宋"/>
          <w:color w:val="000000"/>
          <w:sz w:val="44"/>
          <w:szCs w:val="44"/>
          <w:shd w:val="clear" w:fill="FFFFFF"/>
        </w:rPr>
        <w:t>内容及要求</w:t>
      </w:r>
    </w:p>
    <w:p w14:paraId="4F8EB8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rPr>
        <w:t>一、服务内容</w:t>
      </w:r>
    </w:p>
    <w:p w14:paraId="762A61D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1.</w:t>
      </w:r>
      <w:r>
        <w:rPr>
          <w:rFonts w:hint="eastAsia" w:ascii="仿宋_GB2312" w:hAnsi="仿宋_GB2312" w:eastAsia="仿宋_GB2312" w:cs="仿宋_GB2312"/>
          <w:color w:val="000000"/>
          <w:sz w:val="32"/>
          <w:szCs w:val="32"/>
          <w:shd w:val="clear" w:fill="FFFFFF"/>
        </w:rPr>
        <w:t>代理医院完成电力市场化交易的全流程操作，包括电量申报、交易签约、电费结算等</w:t>
      </w:r>
      <w:r>
        <w:rPr>
          <w:rFonts w:hint="eastAsia" w:ascii="仿宋_GB2312" w:hAnsi="仿宋_GB2312" w:eastAsia="仿宋_GB2312" w:cs="仿宋_GB2312"/>
          <w:color w:val="000000"/>
          <w:sz w:val="32"/>
          <w:szCs w:val="32"/>
          <w:shd w:val="clear" w:fill="FFFFFF"/>
          <w:lang w:eastAsia="zh-CN"/>
        </w:rPr>
        <w:t>；</w:t>
      </w:r>
    </w:p>
    <w:p w14:paraId="49BFEDF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2.</w:t>
      </w:r>
      <w:r>
        <w:rPr>
          <w:rFonts w:hint="eastAsia" w:ascii="仿宋_GB2312" w:hAnsi="仿宋_GB2312" w:eastAsia="仿宋_GB2312" w:cs="仿宋_GB2312"/>
          <w:color w:val="000000"/>
          <w:sz w:val="32"/>
          <w:szCs w:val="32"/>
          <w:shd w:val="clear" w:fill="FFFFFF"/>
        </w:rPr>
        <w:t>负责处理电力交易过程中的偏差考核事宜，相关费用由</w:t>
      </w:r>
      <w:r>
        <w:rPr>
          <w:rFonts w:hint="eastAsia" w:ascii="仿宋_GB2312" w:hAnsi="仿宋_GB2312" w:eastAsia="仿宋_GB2312" w:cs="仿宋_GB2312"/>
          <w:color w:val="000000"/>
          <w:sz w:val="32"/>
          <w:szCs w:val="32"/>
          <w:shd w:val="clear" w:fill="FFFFFF"/>
          <w:lang w:eastAsia="zh-CN"/>
        </w:rPr>
        <w:t>中选方</w:t>
      </w:r>
      <w:r>
        <w:rPr>
          <w:rFonts w:hint="eastAsia" w:ascii="仿宋_GB2312" w:hAnsi="仿宋_GB2312" w:eastAsia="仿宋_GB2312" w:cs="仿宋_GB2312"/>
          <w:color w:val="000000"/>
          <w:sz w:val="32"/>
          <w:szCs w:val="32"/>
          <w:shd w:val="clear" w:fill="FFFFFF"/>
        </w:rPr>
        <w:t>全额承担</w:t>
      </w:r>
      <w:r>
        <w:rPr>
          <w:rFonts w:hint="eastAsia" w:ascii="仿宋_GB2312" w:hAnsi="仿宋_GB2312" w:eastAsia="仿宋_GB2312" w:cs="仿宋_GB2312"/>
          <w:color w:val="000000"/>
          <w:sz w:val="32"/>
          <w:szCs w:val="32"/>
          <w:shd w:val="clear" w:fill="FFFFFF"/>
          <w:lang w:eastAsia="zh-CN"/>
        </w:rPr>
        <w:t>；</w:t>
      </w:r>
    </w:p>
    <w:p w14:paraId="17FD16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3.</w:t>
      </w:r>
      <w:r>
        <w:rPr>
          <w:rFonts w:hint="eastAsia" w:ascii="仿宋_GB2312" w:hAnsi="仿宋_GB2312" w:eastAsia="仿宋_GB2312" w:cs="仿宋_GB2312"/>
          <w:color w:val="000000"/>
          <w:sz w:val="32"/>
          <w:szCs w:val="32"/>
          <w:shd w:val="clear" w:fill="FFFFFF"/>
        </w:rPr>
        <w:t>配合医院执行国家能源局下发的电价调整政策，调整后的电价不得高于签约电价</w:t>
      </w:r>
      <w:r>
        <w:rPr>
          <w:rFonts w:hint="eastAsia" w:ascii="仿宋_GB2312" w:hAnsi="仿宋_GB2312" w:eastAsia="仿宋_GB2312" w:cs="仿宋_GB2312"/>
          <w:color w:val="000000"/>
          <w:sz w:val="32"/>
          <w:szCs w:val="32"/>
          <w:shd w:val="clear" w:fill="FFFFFF"/>
          <w:lang w:eastAsia="zh-CN"/>
        </w:rPr>
        <w:t>；</w:t>
      </w:r>
    </w:p>
    <w:p w14:paraId="225023D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lang w:val="en-US" w:eastAsia="zh-CN"/>
        </w:rPr>
        <w:t>4.</w:t>
      </w:r>
      <w:r>
        <w:rPr>
          <w:rFonts w:hint="eastAsia" w:ascii="仿宋_GB2312" w:hAnsi="仿宋_GB2312" w:eastAsia="仿宋_GB2312" w:cs="仿宋_GB2312"/>
          <w:color w:val="000000"/>
          <w:sz w:val="32"/>
          <w:szCs w:val="32"/>
          <w:shd w:val="clear" w:fill="FFFFFF"/>
        </w:rPr>
        <w:t>提供用电咨询及应急响应服务，及时解决医院用电相关问题。</w:t>
      </w:r>
    </w:p>
    <w:p w14:paraId="744DAC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rPr>
        <w:t>二、服务要求</w:t>
      </w:r>
    </w:p>
    <w:p w14:paraId="25EA46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1.</w:t>
      </w:r>
      <w:r>
        <w:rPr>
          <w:rFonts w:hint="eastAsia" w:ascii="仿宋_GB2312" w:hAnsi="仿宋_GB2312" w:eastAsia="仿宋_GB2312" w:cs="仿宋_GB2312"/>
          <w:color w:val="000000"/>
          <w:sz w:val="32"/>
          <w:szCs w:val="32"/>
          <w:shd w:val="clear" w:fill="FFFFFF"/>
        </w:rPr>
        <w:t>严格遵守《贵州省2026年电力市场化交易实施方案》等相关政策文件规定</w:t>
      </w:r>
      <w:r>
        <w:rPr>
          <w:rFonts w:hint="eastAsia" w:ascii="仿宋_GB2312" w:hAnsi="仿宋_GB2312" w:eastAsia="仿宋_GB2312" w:cs="仿宋_GB2312"/>
          <w:color w:val="000000"/>
          <w:sz w:val="32"/>
          <w:szCs w:val="32"/>
          <w:shd w:val="clear" w:fill="FFFFFF"/>
          <w:lang w:eastAsia="zh-CN"/>
        </w:rPr>
        <w:t>；</w:t>
      </w:r>
    </w:p>
    <w:p w14:paraId="734C12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shd w:val="clear" w:fill="FFFFFF"/>
          <w:lang w:val="en-US" w:eastAsia="zh-CN"/>
        </w:rPr>
        <w:t>2.</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需全额承担电量配额相关风险，若因</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原因导致医院被启动保底售电服务，所有损失由</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承担</w:t>
      </w:r>
      <w:r>
        <w:rPr>
          <w:rFonts w:hint="eastAsia" w:ascii="仿宋_GB2312" w:hAnsi="仿宋_GB2312" w:eastAsia="仿宋_GB2312" w:cs="仿宋_GB2312"/>
          <w:color w:val="000000"/>
          <w:sz w:val="32"/>
          <w:szCs w:val="32"/>
          <w:shd w:val="clear" w:fill="FFFFFF"/>
          <w:lang w:eastAsia="zh-CN"/>
        </w:rPr>
        <w:t>；</w:t>
      </w:r>
    </w:p>
    <w:p w14:paraId="298806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fill="FFFFFF"/>
          <w:lang w:val="en-US" w:eastAsia="zh-CN"/>
        </w:rPr>
        <w:t>3.</w:t>
      </w:r>
      <w:r>
        <w:rPr>
          <w:rFonts w:hint="eastAsia" w:ascii="仿宋_GB2312" w:hAnsi="仿宋_GB2312" w:eastAsia="仿宋_GB2312" w:cs="仿宋_GB2312"/>
          <w:color w:val="000000"/>
          <w:sz w:val="32"/>
          <w:szCs w:val="32"/>
          <w:shd w:val="clear" w:fill="FFFFFF"/>
        </w:rPr>
        <w:t>医院参与现货交易的电量按当月总用电量的20%执行，现货交易部分的溢价风险由</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承担，</w:t>
      </w:r>
      <w:r>
        <w:rPr>
          <w:rFonts w:hint="eastAsia" w:ascii="仿宋_GB2312" w:hAnsi="仿宋_GB2312" w:eastAsia="仿宋_GB2312" w:cs="仿宋_GB2312"/>
          <w:color w:val="000000"/>
          <w:sz w:val="32"/>
          <w:szCs w:val="32"/>
          <w:shd w:val="clear" w:fill="FFFFFF"/>
          <w:lang w:eastAsia="zh-CN"/>
        </w:rPr>
        <w:t>中选商</w:t>
      </w:r>
      <w:r>
        <w:rPr>
          <w:rFonts w:hint="eastAsia" w:ascii="仿宋_GB2312" w:hAnsi="仿宋_GB2312" w:eastAsia="仿宋_GB2312" w:cs="仿宋_GB2312"/>
          <w:color w:val="000000"/>
          <w:sz w:val="32"/>
          <w:szCs w:val="32"/>
          <w:shd w:val="clear" w:fill="FFFFFF"/>
        </w:rPr>
        <w:t>需在报价方案中明确收益分成比例。</w:t>
      </w:r>
    </w:p>
    <w:p w14:paraId="140D12EE">
      <w:pPr>
        <w:rPr>
          <w:rFonts w:hint="eastAsia"/>
        </w:rPr>
      </w:pPr>
    </w:p>
    <w:p w14:paraId="6319E904">
      <w:pPr>
        <w:rPr>
          <w:rFonts w:hint="eastAsia"/>
        </w:rPr>
      </w:pPr>
    </w:p>
    <w:p w14:paraId="3228DD8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p>
    <w:p w14:paraId="6594349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p w14:paraId="5A56B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keepNext w:val="0"/>
        <w:keepLines w:val="0"/>
        <w:pageBreakBefore w:val="0"/>
        <w:kinsoku/>
        <w:wordWrap/>
        <w:overflowPunct/>
        <w:topLinePunct w:val="0"/>
        <w:bidi w:val="0"/>
        <w:snapToGrid/>
        <w:spacing w:before="0" w:line="560" w:lineRule="exact"/>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keepNext w:val="0"/>
        <w:keepLines w:val="0"/>
        <w:pageBreakBefore w:val="0"/>
        <w:numPr>
          <w:ilvl w:val="0"/>
          <w:numId w:val="2"/>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7E84C00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rPr>
      </w:pPr>
      <w:r>
        <w:rPr>
          <w:rFonts w:hint="eastAsia" w:ascii="方正仿宋_GB2312" w:hAnsi="方正仿宋_GB2312" w:eastAsia="方正仿宋_GB2312" w:cs="方正仿宋_GB2312"/>
          <w:sz w:val="32"/>
          <w:szCs w:val="32"/>
          <w:lang w:val="en-US" w:eastAsia="zh-CN"/>
        </w:rPr>
        <w:t>本项目评选要素包括：报价及合理性、服务方案响应性、供应商售后保障能力、历史成交业绩、企业综合实力等因素。</w:t>
      </w:r>
    </w:p>
    <w:p w14:paraId="40BB6A81">
      <w:pPr>
        <w:keepNext w:val="0"/>
        <w:keepLines w:val="0"/>
        <w:pageBreakBefore w:val="0"/>
        <w:numPr>
          <w:ilvl w:val="0"/>
          <w:numId w:val="2"/>
        </w:numPr>
        <w:kinsoku/>
        <w:wordWrap/>
        <w:overflowPunct/>
        <w:topLinePunct w:val="0"/>
        <w:bidi w:val="0"/>
        <w:snapToGrid/>
        <w:spacing w:line="56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w:t>
      </w:r>
    </w:p>
    <w:p w14:paraId="65ACFC8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keepNext w:val="0"/>
        <w:keepLines w:val="0"/>
        <w:pageBreakBefore w:val="0"/>
        <w:numPr>
          <w:ilvl w:val="0"/>
          <w:numId w:val="2"/>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6"/>
        <w:keepNext w:val="0"/>
        <w:keepLines w:val="0"/>
        <w:pageBreakBefore w:val="0"/>
        <w:widowControl w:val="0"/>
        <w:numPr>
          <w:ilvl w:val="0"/>
          <w:numId w:val="0"/>
        </w:numPr>
        <w:kinsoku/>
        <w:wordWrap/>
        <w:overflowPunct/>
        <w:topLinePunct w:val="0"/>
        <w:bidi w:val="0"/>
        <w:snapToGrid/>
        <w:spacing w:line="560" w:lineRule="exact"/>
        <w:ind w:firstLine="640" w:firstLineChars="200"/>
        <w:jc w:val="both"/>
        <w:rPr>
          <w:rFonts w:hint="eastAsia" w:ascii="仿宋" w:hAnsi="仿宋" w:eastAsia="仿宋" w:cs="仿宋"/>
          <w:kern w:val="2"/>
          <w:sz w:val="32"/>
          <w:szCs w:val="32"/>
          <w:lang w:val="en-US" w:eastAsia="zh-CN" w:bidi="ar-SA"/>
        </w:rPr>
        <w:sectPr>
          <w:pgSz w:w="11906" w:h="16838"/>
          <w:pgMar w:top="2098" w:right="1474" w:bottom="1984" w:left="1587" w:header="851" w:footer="992" w:gutter="0"/>
          <w:pgBorders>
            <w:top w:val="none" w:sz="0" w:space="0"/>
            <w:left w:val="none" w:sz="0" w:space="0"/>
            <w:bottom w:val="none" w:sz="0" w:space="0"/>
            <w:right w:val="none" w:sz="0" w:space="0"/>
          </w:pgBorders>
          <w:cols w:space="425" w:num="1"/>
          <w:docGrid w:type="lines" w:linePitch="312" w:charSpace="0"/>
        </w:sectPr>
      </w:pPr>
    </w:p>
    <w:tbl>
      <w:tblPr>
        <w:tblStyle w:val="9"/>
        <w:tblpPr w:leftFromText="180" w:rightFromText="180" w:vertAnchor="text" w:horzAnchor="page" w:tblpX="770" w:tblpY="536"/>
        <w:tblOverlap w:val="never"/>
        <w:tblW w:w="15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182"/>
        <w:gridCol w:w="830"/>
      </w:tblGrid>
      <w:tr w14:paraId="0E8AE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trPr>
        <w:tc>
          <w:tcPr>
            <w:tcW w:w="738" w:type="dxa"/>
            <w:noWrap w:val="0"/>
            <w:vAlign w:val="center"/>
          </w:tcPr>
          <w:p w14:paraId="32935823">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2A9CA93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07BB32C1">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分值</w:t>
            </w:r>
          </w:p>
        </w:tc>
        <w:tc>
          <w:tcPr>
            <w:tcW w:w="11182" w:type="dxa"/>
            <w:noWrap w:val="0"/>
            <w:vAlign w:val="center"/>
          </w:tcPr>
          <w:p w14:paraId="22F1C00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sz w:val="24"/>
                <w:szCs w:val="24"/>
                <w:lang w:val="en-US" w:eastAsia="zh-CN"/>
              </w:rPr>
            </w:pPr>
            <w:r>
              <w:rPr>
                <w:rFonts w:hint="eastAsia"/>
                <w:b/>
                <w:bCs/>
                <w:color w:val="auto"/>
                <w:sz w:val="24"/>
                <w:szCs w:val="24"/>
                <w:lang w:val="en-US" w:eastAsia="zh-CN"/>
              </w:rPr>
              <w:t>评分依据</w:t>
            </w:r>
          </w:p>
        </w:tc>
        <w:tc>
          <w:tcPr>
            <w:tcW w:w="830" w:type="dxa"/>
            <w:noWrap w:val="0"/>
            <w:vAlign w:val="center"/>
          </w:tcPr>
          <w:p w14:paraId="07E752A2">
            <w:pPr>
              <w:pStyle w:val="4"/>
              <w:keepNext w:val="0"/>
              <w:keepLines w:val="0"/>
              <w:pageBreakBefore w:val="0"/>
              <w:kinsoku/>
              <w:wordWrap/>
              <w:overflowPunct/>
              <w:topLinePunct w:val="0"/>
              <w:bidi w:val="0"/>
              <w:snapToGrid/>
              <w:spacing w:line="56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174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738" w:type="dxa"/>
            <w:noWrap w:val="0"/>
            <w:vAlign w:val="center"/>
          </w:tcPr>
          <w:p w14:paraId="0A3B3C19">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b/>
                <w:bCs/>
                <w:color w:val="auto"/>
                <w:lang w:val="en-US" w:eastAsia="zh-CN"/>
              </w:rPr>
              <w:t>1</w:t>
            </w:r>
          </w:p>
        </w:tc>
        <w:tc>
          <w:tcPr>
            <w:tcW w:w="1511" w:type="dxa"/>
            <w:noWrap w:val="0"/>
            <w:vAlign w:val="center"/>
          </w:tcPr>
          <w:p w14:paraId="0BD52333">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color w:val="auto"/>
                <w:lang w:val="en-US" w:eastAsia="zh-CN"/>
              </w:rPr>
            </w:pPr>
            <w:r>
              <w:rPr>
                <w:rFonts w:hint="eastAsia"/>
                <w:b/>
                <w:bCs/>
                <w:color w:val="auto"/>
                <w:lang w:val="en-US" w:eastAsia="zh-CN"/>
              </w:rPr>
              <w:t>报价</w:t>
            </w:r>
          </w:p>
        </w:tc>
        <w:tc>
          <w:tcPr>
            <w:tcW w:w="750" w:type="dxa"/>
            <w:noWrap w:val="0"/>
            <w:vAlign w:val="center"/>
          </w:tcPr>
          <w:p w14:paraId="4BD1AC00">
            <w:pPr>
              <w:keepNext w:val="0"/>
              <w:keepLines w:val="0"/>
              <w:pageBreakBefore w:val="0"/>
              <w:widowControl w:val="0"/>
              <w:kinsoku/>
              <w:wordWrap/>
              <w:overflowPunct/>
              <w:topLinePunct w:val="0"/>
              <w:autoSpaceDE/>
              <w:autoSpaceDN/>
              <w:bidi w:val="0"/>
              <w:adjustRightInd/>
              <w:snapToGrid/>
              <w:spacing w:line="560" w:lineRule="exact"/>
              <w:textAlignment w:val="auto"/>
              <w:rPr>
                <w:b/>
                <w:bCs/>
                <w:color w:val="auto"/>
              </w:rPr>
            </w:pPr>
            <w:r>
              <w:rPr>
                <w:rFonts w:hint="eastAsia"/>
                <w:b/>
                <w:bCs/>
                <w:color w:val="auto"/>
                <w:lang w:val="en-US" w:eastAsia="zh-CN"/>
              </w:rPr>
              <w:t>40</w:t>
            </w:r>
            <w:r>
              <w:rPr>
                <w:rFonts w:hint="eastAsia"/>
                <w:b/>
                <w:bCs/>
                <w:color w:val="auto"/>
              </w:rPr>
              <w:t>分</w:t>
            </w:r>
          </w:p>
        </w:tc>
        <w:tc>
          <w:tcPr>
            <w:tcW w:w="11182" w:type="dxa"/>
            <w:noWrap w:val="0"/>
            <w:vAlign w:val="center"/>
          </w:tcPr>
          <w:p w14:paraId="2A8DAA71">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4</w:t>
            </w:r>
            <w:r>
              <w:rPr>
                <w:iCs/>
                <w:color w:val="auto"/>
              </w:rPr>
              <w:t>0</w:t>
            </w:r>
          </w:p>
          <w:p w14:paraId="154D810E">
            <w:pPr>
              <w:keepNext w:val="0"/>
              <w:keepLines w:val="0"/>
              <w:pageBreakBefore w:val="0"/>
              <w:widowControl w:val="0"/>
              <w:kinsoku/>
              <w:wordWrap/>
              <w:overflowPunct/>
              <w:topLinePunct w:val="0"/>
              <w:autoSpaceDE/>
              <w:autoSpaceDN/>
              <w:bidi w:val="0"/>
              <w:adjustRightInd/>
              <w:snapToGrid/>
              <w:spacing w:line="560" w:lineRule="exact"/>
              <w:textAlignment w:val="auto"/>
              <w:rPr>
                <w:iCs/>
                <w:color w:val="auto"/>
              </w:rPr>
            </w:pPr>
            <w:r>
              <w:rPr>
                <w:rFonts w:hint="eastAsia"/>
                <w:b/>
                <w:color w:val="auto"/>
              </w:rPr>
              <w:t>注：监狱企业、残疾人福利性单位视同小型、微型企业，不重复享受政策。</w:t>
            </w:r>
          </w:p>
        </w:tc>
        <w:tc>
          <w:tcPr>
            <w:tcW w:w="830" w:type="dxa"/>
            <w:noWrap w:val="0"/>
            <w:vAlign w:val="center"/>
          </w:tcPr>
          <w:p w14:paraId="3C1E05CC">
            <w:pPr>
              <w:keepNext w:val="0"/>
              <w:keepLines w:val="0"/>
              <w:pageBreakBefore w:val="0"/>
              <w:kinsoku/>
              <w:wordWrap/>
              <w:overflowPunct/>
              <w:topLinePunct w:val="0"/>
              <w:bidi w:val="0"/>
              <w:snapToGrid/>
              <w:spacing w:line="560" w:lineRule="exact"/>
              <w:rPr>
                <w:rFonts w:hint="eastAsia"/>
                <w:b/>
                <w:color w:val="auto"/>
              </w:rPr>
            </w:pPr>
          </w:p>
        </w:tc>
      </w:tr>
      <w:tr w14:paraId="6C4DC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8" w:type="dxa"/>
            <w:noWrap w:val="0"/>
            <w:vAlign w:val="center"/>
          </w:tcPr>
          <w:p w14:paraId="595616FB">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b/>
                <w:bCs/>
                <w:color w:val="auto"/>
                <w:lang w:val="en-US" w:eastAsia="zh-CN"/>
              </w:rPr>
              <w:t>2</w:t>
            </w:r>
          </w:p>
        </w:tc>
        <w:tc>
          <w:tcPr>
            <w:tcW w:w="1511" w:type="dxa"/>
            <w:noWrap w:val="0"/>
            <w:vAlign w:val="center"/>
          </w:tcPr>
          <w:p w14:paraId="5684872A">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服务要求</w:t>
            </w:r>
          </w:p>
          <w:p w14:paraId="19D234D7">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响应性</w:t>
            </w:r>
          </w:p>
        </w:tc>
        <w:tc>
          <w:tcPr>
            <w:tcW w:w="750" w:type="dxa"/>
            <w:noWrap w:val="0"/>
            <w:vAlign w:val="center"/>
          </w:tcPr>
          <w:p w14:paraId="7DD272B9">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30分</w:t>
            </w:r>
          </w:p>
        </w:tc>
        <w:tc>
          <w:tcPr>
            <w:tcW w:w="11182" w:type="dxa"/>
            <w:noWrap w:val="0"/>
            <w:vAlign w:val="center"/>
          </w:tcPr>
          <w:p w14:paraId="764D977A">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color w:val="auto"/>
              </w:rPr>
              <w:t>依据</w:t>
            </w:r>
            <w:r>
              <w:rPr>
                <w:rFonts w:hint="eastAsia"/>
                <w:color w:val="auto"/>
                <w:lang w:eastAsia="zh-CN"/>
              </w:rPr>
              <w:t>参选</w:t>
            </w:r>
            <w:r>
              <w:rPr>
                <w:rFonts w:hint="eastAsia"/>
                <w:color w:val="auto"/>
              </w:rPr>
              <w:t>文件</w:t>
            </w:r>
            <w:r>
              <w:rPr>
                <w:rFonts w:hint="eastAsia"/>
                <w:color w:val="auto"/>
                <w:lang w:eastAsia="zh-CN"/>
              </w:rPr>
              <w:t>提供的资料</w:t>
            </w:r>
            <w:r>
              <w:rPr>
                <w:rFonts w:hint="eastAsia"/>
                <w:color w:val="auto"/>
              </w:rPr>
              <w:t>进行评审</w:t>
            </w:r>
          </w:p>
          <w:p w14:paraId="72ED9CE3">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rPr>
            </w:pPr>
            <w:r>
              <w:rPr>
                <w:color w:val="auto"/>
              </w:rPr>
              <w:t xml:space="preserve">1. </w:t>
            </w:r>
            <w:r>
              <w:rPr>
                <w:rFonts w:hint="eastAsia"/>
                <w:color w:val="auto"/>
                <w:lang w:eastAsia="zh-CN"/>
              </w:rPr>
              <w:t>符合附件</w:t>
            </w:r>
            <w:r>
              <w:rPr>
                <w:rFonts w:hint="eastAsia"/>
                <w:color w:val="auto"/>
                <w:lang w:val="en-US" w:eastAsia="zh-CN"/>
              </w:rPr>
              <w:t>2的服务内容及服务要求得30分，不满足一项扣5分，扣完为止</w:t>
            </w:r>
          </w:p>
          <w:p w14:paraId="6CC1E41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w:t>
            </w:r>
            <w:r>
              <w:rPr>
                <w:rFonts w:hint="eastAsia" w:cs="宋体"/>
                <w:b/>
                <w:color w:val="auto"/>
                <w:lang w:eastAsia="zh-CN"/>
              </w:rPr>
              <w:t>服务与参选文件不符的</w:t>
            </w:r>
            <w:r>
              <w:rPr>
                <w:rFonts w:hint="eastAsia" w:cs="宋体"/>
                <w:b/>
                <w:color w:val="auto"/>
              </w:rPr>
              <w:t>，将被取消其中</w:t>
            </w:r>
            <w:r>
              <w:rPr>
                <w:rFonts w:hint="eastAsia" w:cs="宋体"/>
                <w:b/>
                <w:color w:val="auto"/>
                <w:lang w:eastAsia="zh-CN"/>
              </w:rPr>
              <w:t>选</w:t>
            </w:r>
            <w:r>
              <w:rPr>
                <w:rFonts w:hint="eastAsia" w:cs="宋体"/>
                <w:b/>
                <w:color w:val="auto"/>
              </w:rPr>
              <w:t>资格，造成严重后果的，追究其相关法律责任。</w:t>
            </w:r>
          </w:p>
        </w:tc>
        <w:tc>
          <w:tcPr>
            <w:tcW w:w="830" w:type="dxa"/>
            <w:noWrap w:val="0"/>
            <w:vAlign w:val="center"/>
          </w:tcPr>
          <w:p w14:paraId="00940119">
            <w:pPr>
              <w:keepNext w:val="0"/>
              <w:keepLines w:val="0"/>
              <w:pageBreakBefore w:val="0"/>
              <w:kinsoku/>
              <w:wordWrap/>
              <w:overflowPunct/>
              <w:topLinePunct w:val="0"/>
              <w:bidi w:val="0"/>
              <w:snapToGrid/>
              <w:spacing w:line="560" w:lineRule="exact"/>
              <w:rPr>
                <w:rFonts w:hint="eastAsia" w:cs="宋体"/>
                <w:b/>
                <w:color w:val="auto"/>
              </w:rPr>
            </w:pPr>
          </w:p>
        </w:tc>
      </w:tr>
      <w:tr w14:paraId="4EF26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exact"/>
        </w:trPr>
        <w:tc>
          <w:tcPr>
            <w:tcW w:w="738" w:type="dxa"/>
            <w:noWrap w:val="0"/>
            <w:vAlign w:val="center"/>
          </w:tcPr>
          <w:p w14:paraId="186A241D">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b/>
                <w:bCs/>
                <w:color w:val="auto"/>
                <w:lang w:val="en-US" w:eastAsia="zh-CN"/>
              </w:rPr>
              <w:t>3</w:t>
            </w:r>
          </w:p>
        </w:tc>
        <w:tc>
          <w:tcPr>
            <w:tcW w:w="1511" w:type="dxa"/>
            <w:noWrap w:val="0"/>
            <w:vAlign w:val="center"/>
          </w:tcPr>
          <w:p w14:paraId="567690A9">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比选文件</w:t>
            </w:r>
          </w:p>
        </w:tc>
        <w:tc>
          <w:tcPr>
            <w:tcW w:w="750" w:type="dxa"/>
            <w:noWrap w:val="0"/>
            <w:vAlign w:val="center"/>
          </w:tcPr>
          <w:p w14:paraId="2BE734A3">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5分</w:t>
            </w:r>
          </w:p>
        </w:tc>
        <w:tc>
          <w:tcPr>
            <w:tcW w:w="11182" w:type="dxa"/>
            <w:noWrap w:val="0"/>
            <w:vAlign w:val="center"/>
          </w:tcPr>
          <w:p w14:paraId="290DAB69">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shd w:val="clear" w:color="auto" w:fill="FFFFFF"/>
              </w:rPr>
            </w:pPr>
            <w:r>
              <w:rPr>
                <w:rFonts w:hint="eastAsia" w:cs="宋体"/>
                <w:color w:val="auto"/>
                <w:shd w:val="clear" w:color="auto" w:fill="FFFFFF"/>
              </w:rPr>
              <w:t>依据各</w:t>
            </w:r>
            <w:r>
              <w:rPr>
                <w:rFonts w:hint="eastAsia" w:cs="宋体"/>
                <w:color w:val="auto"/>
                <w:shd w:val="clear" w:color="auto" w:fill="FFFFFF"/>
                <w:lang w:eastAsia="zh-CN"/>
              </w:rPr>
              <w:t>参选</w:t>
            </w:r>
            <w:r>
              <w:rPr>
                <w:rFonts w:hint="eastAsia" w:cs="宋体"/>
                <w:color w:val="auto"/>
                <w:shd w:val="clear" w:color="auto" w:fill="FFFFFF"/>
              </w:rPr>
              <w:t>人所提供的</w:t>
            </w:r>
            <w:r>
              <w:rPr>
                <w:rFonts w:hint="eastAsia" w:cs="宋体"/>
                <w:color w:val="auto"/>
                <w:shd w:val="clear" w:color="auto" w:fill="FFFFFF"/>
                <w:lang w:eastAsia="zh-CN"/>
              </w:rPr>
              <w:t>比选</w:t>
            </w:r>
            <w:r>
              <w:rPr>
                <w:rFonts w:hint="eastAsia" w:cs="宋体"/>
                <w:color w:val="auto"/>
                <w:shd w:val="clear" w:color="auto" w:fill="FFFFFF"/>
              </w:rPr>
              <w:t>文件及相关资料详细、完整等情况进行对比打分。</w:t>
            </w:r>
          </w:p>
          <w:p w14:paraId="33371EC1">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auto"/>
                <w:lang w:val="zh-CN"/>
              </w:rPr>
            </w:pPr>
            <w:r>
              <w:rPr>
                <w:color w:val="auto"/>
              </w:rPr>
              <w:t>1.</w:t>
            </w:r>
            <w:r>
              <w:rPr>
                <w:rFonts w:hint="eastAsia" w:cs="宋体"/>
                <w:color w:val="auto"/>
                <w:lang w:eastAsia="zh-CN"/>
              </w:rPr>
              <w:t>比选</w:t>
            </w:r>
            <w:r>
              <w:rPr>
                <w:rFonts w:hint="eastAsia" w:cs="宋体"/>
                <w:color w:val="auto"/>
                <w:lang w:val="zh-CN"/>
              </w:rPr>
              <w:t>文件的完整性、规范性全部符合以下要求的</w:t>
            </w:r>
            <w:r>
              <w:rPr>
                <w:rFonts w:hint="eastAsia" w:cs="宋体"/>
                <w:color w:val="auto"/>
                <w:lang w:val="en-US" w:eastAsia="zh-CN"/>
              </w:rPr>
              <w:t>2</w:t>
            </w:r>
            <w:r>
              <w:rPr>
                <w:rFonts w:hint="eastAsia" w:cs="宋体"/>
                <w:color w:val="auto"/>
                <w:lang w:val="zh-CN"/>
              </w:rPr>
              <w:t>分，每有一项不符扣</w:t>
            </w:r>
            <w:r>
              <w:rPr>
                <w:rFonts w:cs="宋体"/>
                <w:color w:val="auto"/>
                <w:lang w:val="zh-CN"/>
              </w:rPr>
              <w:t>0.2</w:t>
            </w:r>
            <w:r>
              <w:rPr>
                <w:rFonts w:hint="eastAsia" w:cs="宋体"/>
                <w:color w:val="auto"/>
                <w:lang w:val="zh-CN"/>
              </w:rPr>
              <w:t>分，此项最低分</w:t>
            </w:r>
            <w:r>
              <w:rPr>
                <w:rFonts w:cs="宋体"/>
                <w:color w:val="auto"/>
                <w:lang w:val="zh-CN"/>
              </w:rPr>
              <w:t>0</w:t>
            </w:r>
            <w:r>
              <w:rPr>
                <w:rFonts w:hint="eastAsia" w:cs="宋体"/>
                <w:color w:val="auto"/>
                <w:lang w:val="zh-CN"/>
              </w:rPr>
              <w:t>分。</w:t>
            </w:r>
          </w:p>
          <w:p w14:paraId="115553B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s="宋体" w:eastAsiaTheme="minorEastAsia"/>
                <w:color w:val="auto"/>
                <w:lang w:val="en-US" w:eastAsia="zh-CN"/>
              </w:rPr>
            </w:pPr>
            <w:r>
              <w:rPr>
                <w:rFonts w:hint="eastAsia" w:cs="宋体"/>
                <w:color w:val="auto"/>
                <w:lang w:val="zh-CN"/>
              </w:rPr>
              <w:t>①比选文件编写清晰整洁；②目录、章节、页码清楚，查阅方便；③要求提供资料完备清晰；④文件签署及盖章完备；⑤是否符合要求的比选文件份数情况。</w:t>
            </w:r>
          </w:p>
        </w:tc>
        <w:tc>
          <w:tcPr>
            <w:tcW w:w="830" w:type="dxa"/>
            <w:noWrap w:val="0"/>
            <w:vAlign w:val="center"/>
          </w:tcPr>
          <w:p w14:paraId="3547AE01">
            <w:pPr>
              <w:keepNext w:val="0"/>
              <w:keepLines w:val="0"/>
              <w:pageBreakBefore w:val="0"/>
              <w:kinsoku/>
              <w:wordWrap/>
              <w:overflowPunct/>
              <w:topLinePunct w:val="0"/>
              <w:bidi w:val="0"/>
              <w:snapToGrid/>
              <w:spacing w:line="560" w:lineRule="exact"/>
              <w:rPr>
                <w:rFonts w:hint="eastAsia" w:cs="宋体"/>
                <w:color w:val="auto"/>
                <w:lang w:val="zh-CN"/>
              </w:rPr>
            </w:pPr>
          </w:p>
        </w:tc>
      </w:tr>
      <w:tr w14:paraId="5034C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exact"/>
        </w:trPr>
        <w:tc>
          <w:tcPr>
            <w:tcW w:w="738" w:type="dxa"/>
            <w:noWrap w:val="0"/>
            <w:vAlign w:val="center"/>
          </w:tcPr>
          <w:p w14:paraId="64278CA2">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rFonts w:hint="eastAsia"/>
                <w:b/>
                <w:bCs/>
                <w:color w:val="auto"/>
                <w:lang w:val="en-US" w:eastAsia="zh-CN"/>
              </w:rPr>
              <w:t>4</w:t>
            </w:r>
          </w:p>
        </w:tc>
        <w:tc>
          <w:tcPr>
            <w:tcW w:w="1511" w:type="dxa"/>
            <w:noWrap w:val="0"/>
            <w:vAlign w:val="center"/>
          </w:tcPr>
          <w:p w14:paraId="6B78DB48">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企业综合实力</w:t>
            </w:r>
          </w:p>
        </w:tc>
        <w:tc>
          <w:tcPr>
            <w:tcW w:w="750" w:type="dxa"/>
            <w:noWrap w:val="0"/>
            <w:vAlign w:val="center"/>
          </w:tcPr>
          <w:p w14:paraId="27E6202B">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10分</w:t>
            </w:r>
          </w:p>
        </w:tc>
        <w:tc>
          <w:tcPr>
            <w:tcW w:w="11182" w:type="dxa"/>
            <w:noWrap w:val="0"/>
            <w:vAlign w:val="center"/>
          </w:tcPr>
          <w:p w14:paraId="2893DD5E">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shd w:val="clear" w:color="auto" w:fill="FFFFFF"/>
              </w:rPr>
            </w:pPr>
            <w:r>
              <w:rPr>
                <w:rFonts w:hint="eastAsia"/>
                <w:color w:val="auto"/>
                <w:shd w:val="clear" w:color="auto" w:fill="FFFFFF"/>
              </w:rPr>
              <w:t>依据各</w:t>
            </w:r>
            <w:r>
              <w:rPr>
                <w:rFonts w:hint="eastAsia"/>
                <w:color w:val="auto"/>
                <w:shd w:val="clear" w:color="auto" w:fill="FFFFFF"/>
                <w:lang w:eastAsia="zh-CN"/>
              </w:rPr>
              <w:t>参选</w:t>
            </w:r>
            <w:r>
              <w:rPr>
                <w:rFonts w:hint="eastAsia"/>
                <w:bCs/>
                <w:color w:val="auto"/>
              </w:rPr>
              <w:t>人</w:t>
            </w:r>
            <w:r>
              <w:rPr>
                <w:rFonts w:hint="eastAsia"/>
                <w:bCs/>
                <w:color w:val="auto"/>
                <w:lang w:eastAsia="zh-CN"/>
              </w:rPr>
              <w:t>同类项目</w:t>
            </w:r>
            <w:r>
              <w:rPr>
                <w:rFonts w:hint="eastAsia"/>
                <w:bCs/>
                <w:color w:val="auto"/>
              </w:rPr>
              <w:t>业绩情况对比</w:t>
            </w:r>
            <w:r>
              <w:rPr>
                <w:rFonts w:hint="eastAsia"/>
                <w:color w:val="auto"/>
                <w:shd w:val="clear" w:color="auto" w:fill="FFFFFF"/>
              </w:rPr>
              <w:t>进行评审。</w:t>
            </w:r>
          </w:p>
          <w:p w14:paraId="1CDDD73A">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cs="宋体"/>
                <w:color w:val="auto"/>
                <w:lang w:val="en-US" w:eastAsia="zh-CN"/>
              </w:rPr>
              <w:t>1</w:t>
            </w:r>
            <w:r>
              <w:rPr>
                <w:rFonts w:cs="宋体"/>
                <w:color w:val="auto"/>
              </w:rPr>
              <w:t>.</w:t>
            </w:r>
            <w:r>
              <w:rPr>
                <w:rFonts w:hint="eastAsia"/>
                <w:color w:val="auto"/>
              </w:rPr>
              <w:t>根据近三年内</w:t>
            </w:r>
            <w:r>
              <w:rPr>
                <w:rFonts w:hint="eastAsia"/>
                <w:color w:val="auto"/>
                <w:lang w:eastAsia="zh-CN"/>
              </w:rPr>
              <w:t>参选企业</w:t>
            </w:r>
            <w:r>
              <w:rPr>
                <w:rFonts w:hint="eastAsia"/>
                <w:color w:val="auto"/>
              </w:rPr>
              <w:t>的中标通知书及购销合同进行打分</w:t>
            </w:r>
            <w:r>
              <w:rPr>
                <w:color w:val="auto"/>
              </w:rPr>
              <w:t>,</w:t>
            </w:r>
            <w:r>
              <w:rPr>
                <w:rFonts w:hint="eastAsia"/>
                <w:color w:val="auto"/>
              </w:rPr>
              <w:t>每提供</w:t>
            </w:r>
            <w:r>
              <w:rPr>
                <w:color w:val="auto"/>
              </w:rPr>
              <w:t>1</w:t>
            </w:r>
            <w:r>
              <w:rPr>
                <w:rFonts w:hint="eastAsia"/>
                <w:color w:val="auto"/>
              </w:rPr>
              <w:t>份中标通知书</w:t>
            </w:r>
            <w:r>
              <w:rPr>
                <w:rFonts w:hint="eastAsia"/>
                <w:color w:val="auto"/>
                <w:lang w:eastAsia="zh-CN"/>
              </w:rPr>
              <w:t>或</w:t>
            </w:r>
            <w:r>
              <w:rPr>
                <w:rFonts w:hint="eastAsia"/>
                <w:color w:val="auto"/>
              </w:rPr>
              <w:t>购销合同得</w:t>
            </w:r>
            <w:r>
              <w:rPr>
                <w:rFonts w:hint="eastAsia"/>
                <w:color w:val="auto"/>
                <w:lang w:val="en-US" w:eastAsia="zh-CN"/>
              </w:rPr>
              <w:t>2</w:t>
            </w:r>
            <w:r>
              <w:rPr>
                <w:rFonts w:hint="eastAsia"/>
                <w:color w:val="auto"/>
              </w:rPr>
              <w:t>分，最高得</w:t>
            </w:r>
            <w:r>
              <w:rPr>
                <w:rFonts w:hint="eastAsia"/>
                <w:color w:val="auto"/>
                <w:lang w:val="en-US" w:eastAsia="zh-CN"/>
              </w:rPr>
              <w:t>10</w:t>
            </w:r>
            <w:r>
              <w:rPr>
                <w:rFonts w:hint="eastAsia"/>
                <w:color w:val="auto"/>
              </w:rPr>
              <w:t>分。</w:t>
            </w:r>
            <w:r>
              <w:rPr>
                <w:rFonts w:hint="eastAsia" w:cs="宋体"/>
                <w:color w:val="auto"/>
              </w:rPr>
              <w:t>不提供不得分</w:t>
            </w:r>
            <w:r>
              <w:rPr>
                <w:rFonts w:hint="eastAsia"/>
                <w:color w:val="auto"/>
              </w:rPr>
              <w:t>（</w:t>
            </w:r>
            <w:r>
              <w:rPr>
                <w:rFonts w:hint="eastAsia"/>
                <w:bCs/>
                <w:color w:val="auto"/>
              </w:rPr>
              <w:t>提供中标通知书及合同复印件，加盖</w:t>
            </w:r>
            <w:r>
              <w:rPr>
                <w:rFonts w:hint="eastAsia"/>
                <w:bCs/>
                <w:color w:val="auto"/>
                <w:lang w:eastAsia="zh-CN"/>
              </w:rPr>
              <w:t>参选</w:t>
            </w:r>
            <w:r>
              <w:rPr>
                <w:rFonts w:hint="eastAsia"/>
                <w:bCs/>
                <w:color w:val="auto"/>
              </w:rPr>
              <w:t>单位公章，</w:t>
            </w:r>
            <w:r>
              <w:rPr>
                <w:rFonts w:hint="eastAsia"/>
                <w:color w:val="auto"/>
              </w:rPr>
              <w:t>原件备查</w:t>
            </w:r>
            <w:r>
              <w:rPr>
                <w:rFonts w:hint="eastAsia" w:cs="宋体"/>
                <w:color w:val="auto"/>
                <w:lang w:val="zh-CN"/>
              </w:rPr>
              <w:t>）</w:t>
            </w:r>
          </w:p>
        </w:tc>
        <w:tc>
          <w:tcPr>
            <w:tcW w:w="830" w:type="dxa"/>
            <w:noWrap w:val="0"/>
            <w:vAlign w:val="center"/>
          </w:tcPr>
          <w:p w14:paraId="6C47FD5A">
            <w:pPr>
              <w:keepNext w:val="0"/>
              <w:keepLines w:val="0"/>
              <w:pageBreakBefore w:val="0"/>
              <w:kinsoku/>
              <w:wordWrap/>
              <w:overflowPunct/>
              <w:topLinePunct w:val="0"/>
              <w:bidi w:val="0"/>
              <w:snapToGrid/>
              <w:spacing w:line="560" w:lineRule="exact"/>
              <w:rPr>
                <w:rFonts w:hint="eastAsia" w:cs="宋体"/>
                <w:color w:val="auto"/>
                <w:lang w:val="en-US" w:eastAsia="zh-CN"/>
              </w:rPr>
            </w:pPr>
          </w:p>
        </w:tc>
      </w:tr>
      <w:tr w14:paraId="00CD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2" w:hRule="exact"/>
        </w:trPr>
        <w:tc>
          <w:tcPr>
            <w:tcW w:w="738" w:type="dxa"/>
            <w:noWrap w:val="0"/>
            <w:vAlign w:val="center"/>
          </w:tcPr>
          <w:p w14:paraId="36F2C6B7">
            <w:pPr>
              <w:pStyle w:val="4"/>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color w:val="auto"/>
                <w:lang w:val="en-US" w:eastAsia="zh-CN"/>
              </w:rPr>
            </w:pPr>
            <w:r>
              <w:rPr>
                <w:rFonts w:hint="eastAsia"/>
                <w:b/>
                <w:bCs/>
                <w:color w:val="auto"/>
                <w:lang w:val="en-US" w:eastAsia="zh-CN"/>
              </w:rPr>
              <w:t>5</w:t>
            </w:r>
          </w:p>
        </w:tc>
        <w:tc>
          <w:tcPr>
            <w:tcW w:w="1511" w:type="dxa"/>
            <w:noWrap w:val="0"/>
            <w:vAlign w:val="center"/>
          </w:tcPr>
          <w:p w14:paraId="5ACE015C">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售后及增值</w:t>
            </w:r>
          </w:p>
          <w:p w14:paraId="3D788AA2">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服务</w:t>
            </w:r>
          </w:p>
        </w:tc>
        <w:tc>
          <w:tcPr>
            <w:tcW w:w="750" w:type="dxa"/>
            <w:noWrap w:val="0"/>
            <w:vAlign w:val="center"/>
          </w:tcPr>
          <w:p w14:paraId="0B5ADA3C">
            <w:pPr>
              <w:pStyle w:val="4"/>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color w:val="auto"/>
                <w:lang w:val="en-US" w:eastAsia="zh-CN"/>
              </w:rPr>
            </w:pPr>
            <w:r>
              <w:rPr>
                <w:rFonts w:hint="eastAsia"/>
                <w:b/>
                <w:bCs/>
                <w:color w:val="auto"/>
                <w:lang w:val="en-US" w:eastAsia="zh-CN"/>
              </w:rPr>
              <w:t>15分</w:t>
            </w:r>
          </w:p>
        </w:tc>
        <w:tc>
          <w:tcPr>
            <w:tcW w:w="11182" w:type="dxa"/>
            <w:noWrap w:val="0"/>
            <w:vAlign w:val="center"/>
          </w:tcPr>
          <w:p w14:paraId="1B3D222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比选</w:t>
            </w:r>
            <w:r>
              <w:rPr>
                <w:rFonts w:hint="eastAsia"/>
                <w:color w:val="auto"/>
              </w:rPr>
              <w:t>文件</w:t>
            </w:r>
            <w:r>
              <w:rPr>
                <w:rFonts w:hint="eastAsia"/>
                <w:color w:val="auto"/>
                <w:lang w:eastAsia="zh-CN"/>
              </w:rPr>
              <w:t>的相关承诺进行</w:t>
            </w:r>
            <w:r>
              <w:rPr>
                <w:rFonts w:hint="eastAsia"/>
                <w:color w:val="auto"/>
              </w:rPr>
              <w:t>打分</w:t>
            </w:r>
          </w:p>
          <w:p w14:paraId="68A210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rPr>
              <w:t>1.有固定的</w:t>
            </w:r>
            <w:r>
              <w:rPr>
                <w:rFonts w:hint="eastAsia"/>
                <w:color w:val="auto"/>
                <w:lang w:eastAsia="zh-CN"/>
              </w:rPr>
              <w:t>项目负责及</w:t>
            </w:r>
            <w:r>
              <w:rPr>
                <w:rFonts w:hint="eastAsia"/>
                <w:color w:val="auto"/>
              </w:rPr>
              <w:t>售后</w:t>
            </w:r>
            <w:r>
              <w:rPr>
                <w:rFonts w:hint="eastAsia"/>
                <w:color w:val="auto"/>
                <w:lang w:eastAsia="zh-CN"/>
              </w:rPr>
              <w:t>人员</w:t>
            </w:r>
            <w:r>
              <w:rPr>
                <w:rFonts w:hint="eastAsia"/>
                <w:color w:val="auto"/>
              </w:rPr>
              <w:t>，提供人员姓名、联系电话</w:t>
            </w:r>
            <w:r>
              <w:rPr>
                <w:rFonts w:hint="eastAsia"/>
                <w:color w:val="auto"/>
                <w:lang w:eastAsia="zh-CN"/>
              </w:rPr>
              <w:t>，</w:t>
            </w:r>
            <w:r>
              <w:rPr>
                <w:rFonts w:hint="eastAsia"/>
                <w:color w:val="auto"/>
                <w:lang w:val="en-US" w:eastAsia="zh-CN"/>
              </w:rPr>
              <w:t>提供</w:t>
            </w:r>
            <w:r>
              <w:rPr>
                <w:rFonts w:hint="eastAsia"/>
                <w:color w:val="auto"/>
                <w:lang w:eastAsia="zh-CN"/>
              </w:rPr>
              <w:t>每年进行医院电力巡检服务，包括电力设备日常运行巡检维护服务、变压器的新增扩容咨询服务等服务得</w:t>
            </w:r>
            <w:r>
              <w:rPr>
                <w:rFonts w:hint="eastAsia"/>
                <w:color w:val="auto"/>
                <w:lang w:val="en-US" w:eastAsia="zh-CN"/>
              </w:rPr>
              <w:t>3分；</w:t>
            </w:r>
          </w:p>
          <w:p w14:paraId="09ED7E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3.提供绝缘手套、绝缘鞋等相关实施的检测服务得2分；</w:t>
            </w:r>
          </w:p>
          <w:p w14:paraId="3F59C4E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olor w:val="auto"/>
                <w:lang w:val="en-US" w:eastAsia="zh-CN"/>
              </w:rPr>
            </w:pPr>
            <w:r>
              <w:rPr>
                <w:rFonts w:hint="eastAsia"/>
                <w:color w:val="auto"/>
                <w:lang w:val="en-US" w:eastAsia="zh-CN"/>
              </w:rPr>
              <w:t>4.在南网区域取得虚拟电厂牌照且免费提供虚拟电厂咨询业务得5分；</w:t>
            </w:r>
          </w:p>
          <w:p w14:paraId="664B5684">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color w:val="auto"/>
                <w:lang w:val="en-US" w:eastAsia="zh-CN"/>
              </w:rPr>
            </w:pPr>
            <w:r>
              <w:rPr>
                <w:rFonts w:hint="eastAsia"/>
                <w:color w:val="auto"/>
                <w:lang w:val="en-US" w:eastAsia="zh-CN"/>
              </w:rPr>
              <w:t>5.每年免费提供节能平板灯（30*30）50颗得3分，60颗得4分，70颗以上得5分。</w:t>
            </w:r>
          </w:p>
        </w:tc>
        <w:tc>
          <w:tcPr>
            <w:tcW w:w="830" w:type="dxa"/>
            <w:noWrap w:val="0"/>
            <w:vAlign w:val="center"/>
          </w:tcPr>
          <w:p w14:paraId="3FC3F706">
            <w:pPr>
              <w:keepNext w:val="0"/>
              <w:keepLines w:val="0"/>
              <w:pageBreakBefore w:val="0"/>
              <w:kinsoku/>
              <w:wordWrap/>
              <w:overflowPunct/>
              <w:topLinePunct w:val="0"/>
              <w:bidi w:val="0"/>
              <w:snapToGrid/>
              <w:spacing w:line="560" w:lineRule="exact"/>
              <w:rPr>
                <w:color w:val="auto"/>
              </w:rPr>
            </w:pPr>
          </w:p>
        </w:tc>
      </w:tr>
      <w:tr w14:paraId="3EF7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4181" w:type="dxa"/>
            <w:gridSpan w:val="4"/>
            <w:noWrap w:val="0"/>
            <w:vAlign w:val="center"/>
          </w:tcPr>
          <w:p w14:paraId="5D97A2E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4210B54D">
            <w:pPr>
              <w:keepNext w:val="0"/>
              <w:keepLines w:val="0"/>
              <w:pageBreakBefore w:val="0"/>
              <w:widowControl w:val="0"/>
              <w:kinsoku/>
              <w:wordWrap/>
              <w:overflowPunct/>
              <w:topLinePunct w:val="0"/>
              <w:autoSpaceDE/>
              <w:autoSpaceDN/>
              <w:bidi w:val="0"/>
              <w:adjustRightInd/>
              <w:snapToGrid/>
              <w:spacing w:line="560" w:lineRule="exact"/>
              <w:textAlignment w:val="auto"/>
              <w:rPr>
                <w:color w:val="auto"/>
              </w:rPr>
            </w:pPr>
            <w:r>
              <w:rPr>
                <w:rFonts w:hint="eastAsia"/>
                <w:b/>
                <w:color w:val="auto"/>
                <w:lang w:eastAsia="zh-CN"/>
              </w:rPr>
              <w:t>备注：以上所提供的材料必须保证真实可信，如有虚假则取消参选资格并追究相关责任。</w:t>
            </w:r>
          </w:p>
          <w:p w14:paraId="3480E1D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color w:val="auto"/>
              </w:rPr>
            </w:pPr>
          </w:p>
        </w:tc>
        <w:tc>
          <w:tcPr>
            <w:tcW w:w="830" w:type="dxa"/>
            <w:noWrap w:val="0"/>
            <w:vAlign w:val="center"/>
          </w:tcPr>
          <w:p w14:paraId="77251B09">
            <w:pPr>
              <w:keepNext w:val="0"/>
              <w:keepLines w:val="0"/>
              <w:pageBreakBefore w:val="0"/>
              <w:kinsoku/>
              <w:wordWrap/>
              <w:overflowPunct/>
              <w:topLinePunct w:val="0"/>
              <w:bidi w:val="0"/>
              <w:snapToGrid/>
              <w:spacing w:line="560" w:lineRule="exact"/>
              <w:rPr>
                <w:rFonts w:hint="eastAsia"/>
                <w:b/>
                <w:color w:val="auto"/>
              </w:rPr>
            </w:pPr>
          </w:p>
        </w:tc>
      </w:tr>
    </w:tbl>
    <w:p w14:paraId="07945670">
      <w:pPr>
        <w:pStyle w:val="6"/>
        <w:keepNext w:val="0"/>
        <w:keepLines w:val="0"/>
        <w:pageBreakBefore w:val="0"/>
        <w:kinsoku/>
        <w:wordWrap/>
        <w:overflowPunct/>
        <w:topLinePunct w:val="0"/>
        <w:bidi w:val="0"/>
        <w:snapToGrid/>
        <w:spacing w:line="560" w:lineRule="exact"/>
      </w:pPr>
    </w:p>
    <w:p w14:paraId="27917AC5">
      <w:pPr>
        <w:pStyle w:val="6"/>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556955DF">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D8E8F8B">
      <w:pPr>
        <w:pStyle w:val="6"/>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722A98BA">
      <w:pPr>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keepNext w:val="0"/>
        <w:keepLines w:val="0"/>
        <w:pageBreakBefore w:val="0"/>
        <w:numPr>
          <w:ilvl w:val="0"/>
          <w:numId w:val="2"/>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keepNext w:val="0"/>
        <w:keepLines w:val="0"/>
        <w:pageBreakBefore w:val="0"/>
        <w:numPr>
          <w:ilvl w:val="0"/>
          <w:numId w:val="0"/>
        </w:numPr>
        <w:kinsoku/>
        <w:wordWrap/>
        <w:overflowPunct/>
        <w:topLinePunct w:val="0"/>
        <w:bidi w:val="0"/>
        <w:snapToGrid/>
        <w:spacing w:line="56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keepNext w:val="0"/>
        <w:keepLines w:val="0"/>
        <w:pageBreakBefore w:val="0"/>
        <w:numPr>
          <w:ilvl w:val="0"/>
          <w:numId w:val="2"/>
        </w:numPr>
        <w:kinsoku/>
        <w:wordWrap/>
        <w:overflowPunct/>
        <w:topLinePunct w:val="0"/>
        <w:bidi w:val="0"/>
        <w:snapToGrid/>
        <w:spacing w:line="56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4"/>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4"/>
        <w:keepNext w:val="0"/>
        <w:keepLines w:val="0"/>
        <w:pageBreakBefore w:val="0"/>
        <w:kinsoku/>
        <w:wordWrap/>
        <w:overflowPunct/>
        <w:topLinePunct w:val="0"/>
        <w:bidi w:val="0"/>
        <w:snapToGrid/>
        <w:spacing w:after="0" w:line="560" w:lineRule="exact"/>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4"/>
        <w:keepNext w:val="0"/>
        <w:keepLines w:val="0"/>
        <w:pageBreakBefore w:val="0"/>
        <w:kinsoku/>
        <w:wordWrap/>
        <w:overflowPunct/>
        <w:topLinePunct w:val="0"/>
        <w:bidi w:val="0"/>
        <w:snapToGrid/>
        <w:spacing w:after="0" w:line="560" w:lineRule="exact"/>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keepNext w:val="0"/>
        <w:keepLines w:val="0"/>
        <w:pageBreakBefore w:val="0"/>
        <w:tabs>
          <w:tab w:val="left" w:pos="3630"/>
        </w:tabs>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keepNext w:val="0"/>
        <w:keepLines w:val="0"/>
        <w:pageBreakBefore w:val="0"/>
        <w:numPr>
          <w:ilvl w:val="0"/>
          <w:numId w:val="0"/>
        </w:numPr>
        <w:kinsoku/>
        <w:wordWrap/>
        <w:overflowPunct/>
        <w:topLinePunct w:val="0"/>
        <w:bidi w:val="0"/>
        <w:snapToGrid/>
        <w:spacing w:line="56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keepNext w:val="0"/>
        <w:keepLines w:val="0"/>
        <w:pageBreakBefore w:val="0"/>
        <w:kinsoku/>
        <w:wordWrap/>
        <w:overflowPunct/>
        <w:topLinePunct w:val="0"/>
        <w:bidi w:val="0"/>
        <w:snapToGrid/>
        <w:spacing w:line="56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6"/>
        <w:keepNext w:val="0"/>
        <w:keepLines w:val="0"/>
        <w:pageBreakBefore w:val="0"/>
        <w:kinsoku/>
        <w:wordWrap/>
        <w:overflowPunct/>
        <w:topLinePunct w:val="0"/>
        <w:bidi w:val="0"/>
        <w:snapToGrid/>
        <w:spacing w:line="560" w:lineRule="exact"/>
        <w:rPr>
          <w:rFonts w:hint="default" w:ascii="仿宋_GB2312" w:hAnsi="仿宋_GB2312" w:eastAsia="仿宋_GB2312" w:cs="仿宋_GB2312"/>
          <w:b/>
          <w:color w:val="000000"/>
          <w:kern w:val="2"/>
          <w:sz w:val="32"/>
          <w:szCs w:val="32"/>
          <w:lang w:val="en-US" w:eastAsia="zh-CN" w:bidi="ar-SA"/>
        </w:rPr>
      </w:pPr>
    </w:p>
    <w:p w14:paraId="20191694">
      <w:pPr>
        <w:keepNext w:val="0"/>
        <w:keepLines w:val="0"/>
        <w:pageBreakBefore w:val="0"/>
        <w:kinsoku/>
        <w:wordWrap/>
        <w:overflowPunct/>
        <w:topLinePunct w:val="0"/>
        <w:bidi w:val="0"/>
        <w:snapToGrid/>
        <w:spacing w:line="560" w:lineRule="exact"/>
        <w:rPr>
          <w:rFonts w:hint="default"/>
          <w:lang w:val="en-US" w:eastAsia="zh-CN"/>
        </w:rPr>
      </w:pPr>
    </w:p>
    <w:p w14:paraId="2E98FCE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keepNext w:val="0"/>
        <w:keepLines w:val="0"/>
        <w:pageBreakBefore w:val="0"/>
        <w:widowControl/>
        <w:kinsoku/>
        <w:wordWrap/>
        <w:overflowPunct/>
        <w:topLinePunct w:val="0"/>
        <w:bidi w:val="0"/>
        <w:snapToGrid/>
        <w:spacing w:before="1857" w:line="56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393944F5">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11A2D887">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13280D1">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4F36518D">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7B89E5E2">
      <w:pPr>
        <w:keepNext w:val="0"/>
        <w:keepLines w:val="0"/>
        <w:pageBreakBefore w:val="0"/>
        <w:kinsoku/>
        <w:wordWrap/>
        <w:overflowPunct/>
        <w:topLinePunct w:val="0"/>
        <w:bidi w:val="0"/>
        <w:snapToGrid/>
        <w:spacing w:line="560" w:lineRule="exact"/>
        <w:rPr>
          <w:rFonts w:hint="eastAsia"/>
          <w:b/>
          <w:color w:val="000000"/>
          <w:sz w:val="96"/>
          <w:szCs w:val="20"/>
          <w:lang w:val="zh-CN"/>
        </w:rPr>
      </w:pPr>
    </w:p>
    <w:p w14:paraId="5B7CB967">
      <w:pPr>
        <w:keepNext w:val="0"/>
        <w:keepLines w:val="0"/>
        <w:pageBreakBefore w:val="0"/>
        <w:kinsoku/>
        <w:wordWrap/>
        <w:overflowPunct/>
        <w:topLinePunct w:val="0"/>
        <w:bidi w:val="0"/>
        <w:snapToGrid/>
        <w:spacing w:line="560" w:lineRule="exact"/>
        <w:rPr>
          <w:rFonts w:hint="eastAsia"/>
          <w:color w:val="000000"/>
          <w:sz w:val="24"/>
          <w:szCs w:val="24"/>
        </w:rPr>
      </w:pPr>
    </w:p>
    <w:p w14:paraId="596B000C">
      <w:pPr>
        <w:keepNext w:val="0"/>
        <w:keepLines w:val="0"/>
        <w:pageBreakBefore w:val="0"/>
        <w:kinsoku/>
        <w:wordWrap/>
        <w:overflowPunct/>
        <w:topLinePunct w:val="0"/>
        <w:bidi w:val="0"/>
        <w:snapToGrid/>
        <w:spacing w:line="560" w:lineRule="exact"/>
        <w:rPr>
          <w:rFonts w:hint="eastAsia"/>
          <w:color w:val="000000"/>
          <w:sz w:val="24"/>
          <w:szCs w:val="24"/>
          <w:lang w:val="en-US" w:eastAsia="zh-CN"/>
        </w:rPr>
      </w:pPr>
    </w:p>
    <w:p w14:paraId="744EB7EE">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275228D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A0DEF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EB5A54">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keepNext w:val="0"/>
        <w:keepLines w:val="0"/>
        <w:pageBreakBefore w:val="0"/>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keepNext w:val="0"/>
        <w:keepLines w:val="0"/>
        <w:pageBreakBefore w:val="0"/>
        <w:kinsoku/>
        <w:wordWrap/>
        <w:overflowPunct/>
        <w:topLinePunct w:val="0"/>
        <w:bidi w:val="0"/>
        <w:snapToGrid/>
        <w:spacing w:line="560" w:lineRule="exact"/>
        <w:rPr>
          <w:rFonts w:hint="eastAsia"/>
          <w:b/>
          <w:color w:val="000000"/>
          <w:sz w:val="24"/>
          <w:szCs w:val="24"/>
        </w:rPr>
      </w:pPr>
    </w:p>
    <w:p w14:paraId="13AC8F7F">
      <w:pPr>
        <w:keepNext w:val="0"/>
        <w:keepLines w:val="0"/>
        <w:pageBreakBefore w:val="0"/>
        <w:widowControl/>
        <w:kinsoku/>
        <w:wordWrap/>
        <w:overflowPunct/>
        <w:topLinePunct w:val="0"/>
        <w:bidi w:val="0"/>
        <w:snapToGrid/>
        <w:spacing w:line="560" w:lineRule="exact"/>
        <w:jc w:val="left"/>
        <w:textAlignment w:val="baseline"/>
        <w:rPr>
          <w:rFonts w:hint="eastAsia"/>
          <w:bCs/>
          <w:kern w:val="0"/>
          <w:sz w:val="32"/>
          <w:szCs w:val="32"/>
          <w:lang w:val="en-US" w:eastAsia="zh-CN"/>
        </w:rPr>
      </w:pPr>
    </w:p>
    <w:p w14:paraId="5F74E4D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BDC678">
      <w:pPr>
        <w:keepNext w:val="0"/>
        <w:keepLines w:val="0"/>
        <w:pageBreakBefore w:val="0"/>
        <w:widowControl/>
        <w:kinsoku/>
        <w:wordWrap/>
        <w:overflowPunct/>
        <w:topLinePunct w:val="0"/>
        <w:bidi w:val="0"/>
        <w:snapToGrid/>
        <w:spacing w:line="5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6969101"/>
      <w:bookmarkStart w:id="1" w:name="_Toc519068584"/>
    </w:p>
    <w:p w14:paraId="1D592FCF">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9"/>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keepNext w:val="0"/>
        <w:keepLines w:val="0"/>
        <w:pageBreakBefore w:val="0"/>
        <w:kinsoku/>
        <w:wordWrap/>
        <w:overflowPunct/>
        <w:topLinePunct w:val="0"/>
        <w:bidi w:val="0"/>
        <w:snapToGrid/>
        <w:spacing w:line="560" w:lineRule="exact"/>
        <w:ind w:firstLine="240" w:firstLineChars="100"/>
        <w:rPr>
          <w:rFonts w:hint="eastAsia" w:cs="宋体"/>
          <w:color w:val="000000"/>
          <w:sz w:val="24"/>
          <w:szCs w:val="24"/>
        </w:rPr>
      </w:pPr>
    </w:p>
    <w:p w14:paraId="7C21AB40">
      <w:pPr>
        <w:keepNext w:val="0"/>
        <w:keepLines w:val="0"/>
        <w:pageBreakBefore w:val="0"/>
        <w:kinsoku/>
        <w:wordWrap/>
        <w:overflowPunct/>
        <w:topLinePunct w:val="0"/>
        <w:bidi w:val="0"/>
        <w:snapToGrid/>
        <w:spacing w:line="560" w:lineRule="exact"/>
        <w:rPr>
          <w:rFonts w:hint="eastAsia" w:cs="宋体"/>
          <w:color w:val="000000"/>
          <w:sz w:val="24"/>
          <w:szCs w:val="24"/>
        </w:rPr>
      </w:pPr>
    </w:p>
    <w:p w14:paraId="22A052F9">
      <w:pPr>
        <w:keepNext w:val="0"/>
        <w:keepLines w:val="0"/>
        <w:pageBreakBefore w:val="0"/>
        <w:kinsoku/>
        <w:wordWrap/>
        <w:overflowPunct/>
        <w:topLinePunct w:val="0"/>
        <w:bidi w:val="0"/>
        <w:snapToGrid/>
        <w:spacing w:line="560" w:lineRule="exact"/>
        <w:rPr>
          <w:rFonts w:hint="eastAsia" w:cs="宋体"/>
          <w:color w:val="000000"/>
          <w:sz w:val="24"/>
          <w:szCs w:val="24"/>
        </w:rPr>
      </w:pPr>
    </w:p>
    <w:p w14:paraId="4075FF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keepNext w:val="0"/>
        <w:keepLines w:val="0"/>
        <w:pageBreakBefore w:val="0"/>
        <w:kinsoku/>
        <w:wordWrap/>
        <w:overflowPunct/>
        <w:topLinePunct w:val="0"/>
        <w:bidi w:val="0"/>
        <w:snapToGrid/>
        <w:spacing w:line="560" w:lineRule="exact"/>
        <w:rPr>
          <w:rFonts w:hint="eastAsia" w:cs="楷体"/>
          <w:color w:val="000000"/>
          <w:spacing w:val="1"/>
          <w:kern w:val="0"/>
          <w:sz w:val="24"/>
          <w:szCs w:val="24"/>
        </w:rPr>
      </w:pPr>
    </w:p>
    <w:p w14:paraId="0378719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p>
    <w:p w14:paraId="2ED0C358">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keepNext w:val="0"/>
        <w:keepLines w:val="0"/>
        <w:pageBreakBefore w:val="0"/>
        <w:widowControl/>
        <w:kinsoku/>
        <w:wordWrap/>
        <w:overflowPunct/>
        <w:topLinePunct w:val="0"/>
        <w:bidi w:val="0"/>
        <w:snapToGrid/>
        <w:spacing w:line="5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keepNext w:val="0"/>
        <w:keepLines w:val="0"/>
        <w:pageBreakBefore w:val="0"/>
        <w:kinsoku/>
        <w:wordWrap/>
        <w:overflowPunct/>
        <w:topLinePunct w:val="0"/>
        <w:bidi w:val="0"/>
        <w:snapToGrid/>
        <w:spacing w:line="56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9"/>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c>
          <w:tcPr>
            <w:tcW w:w="4489" w:type="dxa"/>
            <w:noWrap w:val="0"/>
            <w:vAlign w:val="top"/>
          </w:tcPr>
          <w:p w14:paraId="5C0FBF7F">
            <w:pPr>
              <w:keepNext w:val="0"/>
              <w:keepLines w:val="0"/>
              <w:pageBreakBefore w:val="0"/>
              <w:widowControl/>
              <w:kinsoku/>
              <w:wordWrap/>
              <w:overflowPunct/>
              <w:topLinePunct w:val="0"/>
              <w:bidi w:val="0"/>
              <w:snapToGrid/>
              <w:spacing w:before="739" w:line="560" w:lineRule="exact"/>
              <w:jc w:val="left"/>
              <w:rPr>
                <w:color w:val="000000"/>
                <w:kern w:val="0"/>
                <w:sz w:val="24"/>
                <w:szCs w:val="24"/>
              </w:rPr>
            </w:pPr>
          </w:p>
        </w:tc>
      </w:tr>
    </w:tbl>
    <w:p w14:paraId="38F8CD66">
      <w:pPr>
        <w:keepNext w:val="0"/>
        <w:keepLines w:val="0"/>
        <w:pageBreakBefore w:val="0"/>
        <w:widowControl/>
        <w:kinsoku/>
        <w:wordWrap/>
        <w:overflowPunct/>
        <w:topLinePunct w:val="0"/>
        <w:bidi w:val="0"/>
        <w:snapToGrid/>
        <w:spacing w:line="560" w:lineRule="exact"/>
        <w:jc w:val="both"/>
        <w:rPr>
          <w:rFonts w:hint="eastAsia" w:cs="楷体"/>
          <w:color w:val="000000"/>
          <w:spacing w:val="1"/>
          <w:kern w:val="0"/>
          <w:sz w:val="32"/>
          <w:szCs w:val="32"/>
        </w:rPr>
      </w:pPr>
    </w:p>
    <w:p w14:paraId="68E51C84">
      <w:pPr>
        <w:keepNext w:val="0"/>
        <w:keepLines w:val="0"/>
        <w:pageBreakBefore w:val="0"/>
        <w:widowControl/>
        <w:kinsoku/>
        <w:wordWrap/>
        <w:overflowPunct/>
        <w:topLinePunct w:val="0"/>
        <w:bidi w:val="0"/>
        <w:snapToGrid/>
        <w:spacing w:line="560" w:lineRule="exact"/>
        <w:jc w:val="center"/>
        <w:textAlignment w:val="baseline"/>
        <w:rPr>
          <w:bCs/>
          <w:kern w:val="0"/>
          <w:sz w:val="32"/>
          <w:szCs w:val="32"/>
        </w:rPr>
      </w:pPr>
    </w:p>
    <w:p w14:paraId="0E87EB5A">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7A86CE57">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c>
          <w:tcPr>
            <w:tcW w:w="4546" w:type="dxa"/>
            <w:noWrap w:val="0"/>
            <w:vAlign w:val="top"/>
          </w:tcPr>
          <w:p w14:paraId="5C7A6F3D">
            <w:pPr>
              <w:keepNext w:val="0"/>
              <w:keepLines w:val="0"/>
              <w:pageBreakBefore w:val="0"/>
              <w:widowControl/>
              <w:kinsoku/>
              <w:wordWrap/>
              <w:overflowPunct/>
              <w:topLinePunct w:val="0"/>
              <w:bidi w:val="0"/>
              <w:snapToGrid/>
              <w:spacing w:line="560" w:lineRule="exact"/>
              <w:jc w:val="left"/>
              <w:rPr>
                <w:rFonts w:hint="eastAsia"/>
                <w:color w:val="000000"/>
                <w:kern w:val="0"/>
                <w:sz w:val="24"/>
                <w:szCs w:val="22"/>
              </w:rPr>
            </w:pPr>
          </w:p>
        </w:tc>
      </w:tr>
    </w:tbl>
    <w:p w14:paraId="1BB21AF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keepNext w:val="0"/>
        <w:keepLines w:val="0"/>
        <w:pageBreakBefore w:val="0"/>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64A19A92">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5CA662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bookmarkEnd w:id="0"/>
    <w:bookmarkEnd w:id="1"/>
    <w:p w14:paraId="57EF0E5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1E808A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83DCAE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7A2C9A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C8E04D">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24DEE8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369A70F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0F34CB2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AE630E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51A2C0">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35B81B8">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0F5E5F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0B6E96">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0B72C5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A4D72B7">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49E1B4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9887D3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624E363">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6C19D46F">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BD437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BB0DA69">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3357A1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751F530A">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2E4AE7F5">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1DBDDCEC">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p>
    <w:p w14:paraId="59A54CFE">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keepNext w:val="0"/>
        <w:keepLines w:val="0"/>
        <w:pageBreakBefore w:val="0"/>
        <w:widowControl/>
        <w:kinsoku/>
        <w:wordWrap/>
        <w:overflowPunct/>
        <w:topLinePunct w:val="0"/>
        <w:bidi w:val="0"/>
        <w:snapToGrid/>
        <w:spacing w:line="5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9"/>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7AD3CDE0">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0D6447D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2E3F61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C4DDFEB">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6213304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2046F3F5">
            <w:pPr>
              <w:keepNext w:val="0"/>
              <w:keepLines w:val="0"/>
              <w:pageBreakBefore w:val="0"/>
              <w:kinsoku/>
              <w:wordWrap/>
              <w:overflowPunct/>
              <w:topLinePunct w:val="0"/>
              <w:bidi w:val="0"/>
              <w:snapToGrid/>
              <w:spacing w:line="560" w:lineRule="exact"/>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5490E091">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8A5B8D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2E68BB9A">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5FCA637">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7AFB24C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F9160F8">
            <w:pPr>
              <w:keepNext w:val="0"/>
              <w:keepLines w:val="0"/>
              <w:pageBreakBefore w:val="0"/>
              <w:kinsoku/>
              <w:wordWrap/>
              <w:overflowPunct/>
              <w:topLinePunct w:val="0"/>
              <w:bidi w:val="0"/>
              <w:snapToGrid/>
              <w:spacing w:line="560" w:lineRule="exact"/>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F9CB6C8">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438F749">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738C55B7">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09239F78">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422DA273">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49B51F7B">
            <w:pPr>
              <w:keepNext w:val="0"/>
              <w:keepLines w:val="0"/>
              <w:pageBreakBefore w:val="0"/>
              <w:kinsoku/>
              <w:wordWrap/>
              <w:overflowPunct/>
              <w:topLinePunct w:val="0"/>
              <w:bidi w:val="0"/>
              <w:snapToGrid/>
              <w:spacing w:line="560" w:lineRule="exact"/>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10CC33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583D109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16635A6">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70B96E90">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5BCD654F">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57260F76">
            <w:pPr>
              <w:keepNext w:val="0"/>
              <w:keepLines w:val="0"/>
              <w:pageBreakBefore w:val="0"/>
              <w:kinsoku/>
              <w:wordWrap/>
              <w:overflowPunct/>
              <w:topLinePunct w:val="0"/>
              <w:bidi w:val="0"/>
              <w:snapToGrid/>
              <w:spacing w:line="560" w:lineRule="exact"/>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07E2F68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67A0528">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4F6C6B1E">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367F078A">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3E0180B">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6EB83923">
            <w:pPr>
              <w:keepNext w:val="0"/>
              <w:keepLines w:val="0"/>
              <w:pageBreakBefore w:val="0"/>
              <w:kinsoku/>
              <w:wordWrap/>
              <w:overflowPunct/>
              <w:topLinePunct w:val="0"/>
              <w:bidi w:val="0"/>
              <w:snapToGrid/>
              <w:spacing w:line="560" w:lineRule="exact"/>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54E999B">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69139296">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64D11B1">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D841A6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3808AE91">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23AD2C3">
            <w:pPr>
              <w:keepNext w:val="0"/>
              <w:keepLines w:val="0"/>
              <w:pageBreakBefore w:val="0"/>
              <w:kinsoku/>
              <w:wordWrap/>
              <w:overflowPunct/>
              <w:topLinePunct w:val="0"/>
              <w:bidi w:val="0"/>
              <w:snapToGrid/>
              <w:spacing w:line="560" w:lineRule="exact"/>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1475B3E4">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21AEC48E">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31910EBD">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49DF0974">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1B9ECA3D">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390E23E1">
            <w:pPr>
              <w:keepNext w:val="0"/>
              <w:keepLines w:val="0"/>
              <w:pageBreakBefore w:val="0"/>
              <w:kinsoku/>
              <w:wordWrap/>
              <w:overflowPunct/>
              <w:topLinePunct w:val="0"/>
              <w:bidi w:val="0"/>
              <w:snapToGrid/>
              <w:spacing w:line="560" w:lineRule="exact"/>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keepNext w:val="0"/>
              <w:keepLines w:val="0"/>
              <w:pageBreakBefore w:val="0"/>
              <w:kinsoku/>
              <w:wordWrap/>
              <w:overflowPunct/>
              <w:topLinePunct w:val="0"/>
              <w:bidi w:val="0"/>
              <w:snapToGrid/>
              <w:spacing w:line="560" w:lineRule="exact"/>
              <w:jc w:val="center"/>
              <w:rPr>
                <w:sz w:val="24"/>
                <w:szCs w:val="24"/>
              </w:rPr>
            </w:pPr>
          </w:p>
        </w:tc>
        <w:tc>
          <w:tcPr>
            <w:tcW w:w="1223" w:type="dxa"/>
            <w:noWrap w:val="0"/>
            <w:vAlign w:val="center"/>
          </w:tcPr>
          <w:p w14:paraId="2800D55C">
            <w:pPr>
              <w:keepNext w:val="0"/>
              <w:keepLines w:val="0"/>
              <w:pageBreakBefore w:val="0"/>
              <w:kinsoku/>
              <w:wordWrap/>
              <w:overflowPunct/>
              <w:topLinePunct w:val="0"/>
              <w:bidi w:val="0"/>
              <w:snapToGrid/>
              <w:spacing w:line="560" w:lineRule="exact"/>
              <w:jc w:val="center"/>
              <w:rPr>
                <w:sz w:val="24"/>
                <w:szCs w:val="24"/>
              </w:rPr>
            </w:pPr>
          </w:p>
        </w:tc>
        <w:tc>
          <w:tcPr>
            <w:tcW w:w="865" w:type="dxa"/>
            <w:noWrap w:val="0"/>
            <w:vAlign w:val="center"/>
          </w:tcPr>
          <w:p w14:paraId="39FA2235">
            <w:pPr>
              <w:keepNext w:val="0"/>
              <w:keepLines w:val="0"/>
              <w:pageBreakBefore w:val="0"/>
              <w:kinsoku/>
              <w:wordWrap/>
              <w:overflowPunct/>
              <w:topLinePunct w:val="0"/>
              <w:bidi w:val="0"/>
              <w:snapToGrid/>
              <w:spacing w:line="560" w:lineRule="exact"/>
              <w:jc w:val="center"/>
              <w:rPr>
                <w:sz w:val="24"/>
                <w:szCs w:val="24"/>
              </w:rPr>
            </w:pPr>
          </w:p>
        </w:tc>
        <w:tc>
          <w:tcPr>
            <w:tcW w:w="1835" w:type="dxa"/>
            <w:noWrap w:val="0"/>
            <w:vAlign w:val="center"/>
          </w:tcPr>
          <w:p w14:paraId="00AF08E4">
            <w:pPr>
              <w:keepNext w:val="0"/>
              <w:keepLines w:val="0"/>
              <w:pageBreakBefore w:val="0"/>
              <w:kinsoku/>
              <w:wordWrap/>
              <w:overflowPunct/>
              <w:topLinePunct w:val="0"/>
              <w:bidi w:val="0"/>
              <w:snapToGrid/>
              <w:spacing w:line="560" w:lineRule="exact"/>
              <w:jc w:val="center"/>
              <w:rPr>
                <w:sz w:val="24"/>
                <w:szCs w:val="24"/>
              </w:rPr>
            </w:pPr>
          </w:p>
        </w:tc>
        <w:tc>
          <w:tcPr>
            <w:tcW w:w="2019" w:type="dxa"/>
            <w:noWrap w:val="0"/>
            <w:vAlign w:val="center"/>
          </w:tcPr>
          <w:p w14:paraId="2BC18172">
            <w:pPr>
              <w:keepNext w:val="0"/>
              <w:keepLines w:val="0"/>
              <w:pageBreakBefore w:val="0"/>
              <w:kinsoku/>
              <w:wordWrap/>
              <w:overflowPunct/>
              <w:topLinePunct w:val="0"/>
              <w:bidi w:val="0"/>
              <w:snapToGrid/>
              <w:spacing w:line="560" w:lineRule="exact"/>
              <w:jc w:val="center"/>
              <w:rPr>
                <w:sz w:val="24"/>
                <w:szCs w:val="24"/>
              </w:rPr>
            </w:pPr>
          </w:p>
        </w:tc>
        <w:tc>
          <w:tcPr>
            <w:tcW w:w="1569" w:type="dxa"/>
            <w:noWrap w:val="0"/>
            <w:vAlign w:val="center"/>
          </w:tcPr>
          <w:p w14:paraId="09188FEE">
            <w:pPr>
              <w:keepNext w:val="0"/>
              <w:keepLines w:val="0"/>
              <w:pageBreakBefore w:val="0"/>
              <w:kinsoku/>
              <w:wordWrap/>
              <w:overflowPunct/>
              <w:topLinePunct w:val="0"/>
              <w:bidi w:val="0"/>
              <w:snapToGrid/>
              <w:spacing w:line="560" w:lineRule="exact"/>
              <w:jc w:val="center"/>
              <w:rPr>
                <w:sz w:val="24"/>
                <w:szCs w:val="24"/>
              </w:rPr>
            </w:pPr>
          </w:p>
        </w:tc>
        <w:tc>
          <w:tcPr>
            <w:tcW w:w="890" w:type="dxa"/>
            <w:noWrap w:val="0"/>
            <w:vAlign w:val="center"/>
          </w:tcPr>
          <w:p w14:paraId="7864C154">
            <w:pPr>
              <w:keepNext w:val="0"/>
              <w:keepLines w:val="0"/>
              <w:pageBreakBefore w:val="0"/>
              <w:kinsoku/>
              <w:wordWrap/>
              <w:overflowPunct/>
              <w:topLinePunct w:val="0"/>
              <w:bidi w:val="0"/>
              <w:snapToGrid/>
              <w:spacing w:line="560" w:lineRule="exact"/>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keepNext w:val="0"/>
              <w:keepLines w:val="0"/>
              <w:pageBreakBefore w:val="0"/>
              <w:kinsoku/>
              <w:wordWrap/>
              <w:overflowPunct/>
              <w:topLinePunct w:val="0"/>
              <w:bidi w:val="0"/>
              <w:snapToGrid/>
              <w:spacing w:line="560" w:lineRule="exact"/>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p>
    <w:p w14:paraId="7DBB151F">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keepNext w:val="0"/>
        <w:keepLines w:val="0"/>
        <w:pageBreakBefore w:val="0"/>
        <w:kinsoku/>
        <w:wordWrap/>
        <w:overflowPunct/>
        <w:topLinePunct w:val="0"/>
        <w:bidi w:val="0"/>
        <w:snapToGrid/>
        <w:spacing w:line="560" w:lineRule="exact"/>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keepNext w:val="0"/>
        <w:keepLines w:val="0"/>
        <w:pageBreakBefore w:val="0"/>
        <w:kinsoku/>
        <w:wordWrap/>
        <w:overflowPunct/>
        <w:topLinePunct w:val="0"/>
        <w:bidi w:val="0"/>
        <w:snapToGrid/>
        <w:spacing w:line="560" w:lineRule="exact"/>
        <w:ind w:right="823" w:rightChars="392"/>
        <w:rPr>
          <w:sz w:val="24"/>
          <w:szCs w:val="24"/>
        </w:rPr>
      </w:pPr>
    </w:p>
    <w:p w14:paraId="7C68965E">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AC9AEA5">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17479437">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01E10D81">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2BFF6C44">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634E9172">
      <w:pPr>
        <w:keepNext w:val="0"/>
        <w:keepLines w:val="0"/>
        <w:pageBreakBefore w:val="0"/>
        <w:kinsoku/>
        <w:wordWrap/>
        <w:overflowPunct/>
        <w:topLinePunct w:val="0"/>
        <w:bidi w:val="0"/>
        <w:snapToGrid/>
        <w:spacing w:line="560" w:lineRule="exact"/>
        <w:rPr>
          <w:rFonts w:hint="eastAsia" w:cs="楷体"/>
          <w:color w:val="000000"/>
          <w:spacing w:val="-8"/>
          <w:kern w:val="0"/>
          <w:sz w:val="24"/>
          <w:szCs w:val="24"/>
        </w:rPr>
      </w:pPr>
    </w:p>
    <w:p w14:paraId="4A237DCB">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9"/>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keepNext w:val="0"/>
              <w:keepLines w:val="0"/>
              <w:pageBreakBefore w:val="0"/>
              <w:kinsoku/>
              <w:wordWrap/>
              <w:overflowPunct/>
              <w:topLinePunct w:val="0"/>
              <w:bidi w:val="0"/>
              <w:snapToGrid/>
              <w:spacing w:line="560" w:lineRule="exact"/>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keepNext w:val="0"/>
              <w:keepLines w:val="0"/>
              <w:pageBreakBefore w:val="0"/>
              <w:kinsoku/>
              <w:wordWrap/>
              <w:overflowPunct/>
              <w:topLinePunct w:val="0"/>
              <w:bidi w:val="0"/>
              <w:snapToGrid/>
              <w:spacing w:line="560" w:lineRule="exact"/>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keepNext w:val="0"/>
              <w:keepLines w:val="0"/>
              <w:pageBreakBefore w:val="0"/>
              <w:kinsoku/>
              <w:wordWrap/>
              <w:overflowPunct/>
              <w:topLinePunct w:val="0"/>
              <w:bidi w:val="0"/>
              <w:snapToGrid/>
              <w:spacing w:line="560" w:lineRule="exact"/>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keepNext w:val="0"/>
              <w:keepLines w:val="0"/>
              <w:pageBreakBefore w:val="0"/>
              <w:kinsoku/>
              <w:wordWrap/>
              <w:overflowPunct/>
              <w:topLinePunct w:val="0"/>
              <w:bidi w:val="0"/>
              <w:snapToGrid/>
              <w:spacing w:line="560" w:lineRule="exact"/>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keepNext w:val="0"/>
              <w:keepLines w:val="0"/>
              <w:pageBreakBefore w:val="0"/>
              <w:kinsoku/>
              <w:wordWrap/>
              <w:overflowPunct/>
              <w:topLinePunct w:val="0"/>
              <w:bidi w:val="0"/>
              <w:snapToGrid/>
              <w:spacing w:line="560" w:lineRule="exact"/>
              <w:rPr>
                <w:rFonts w:hint="eastAsia" w:cs="Calibri"/>
                <w:color w:val="000000"/>
                <w:kern w:val="0"/>
                <w:sz w:val="24"/>
                <w:szCs w:val="24"/>
              </w:rPr>
            </w:pPr>
            <w:r>
              <w:rPr>
                <w:rFonts w:hint="eastAsia"/>
                <w:b/>
                <w:lang w:eastAsia="zh-CN"/>
              </w:rPr>
              <w:t>投标人可自行添加</w:t>
            </w:r>
          </w:p>
        </w:tc>
      </w:tr>
    </w:tbl>
    <w:p w14:paraId="60D2F357">
      <w:pPr>
        <w:keepNext w:val="0"/>
        <w:keepLines w:val="0"/>
        <w:pageBreakBefore w:val="0"/>
        <w:kinsoku/>
        <w:wordWrap/>
        <w:overflowPunct/>
        <w:topLinePunct w:val="0"/>
        <w:bidi w:val="0"/>
        <w:snapToGrid/>
        <w:spacing w:line="560" w:lineRule="exac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keepNext w:val="0"/>
        <w:keepLines w:val="0"/>
        <w:pageBreakBefore w:val="0"/>
        <w:kinsoku/>
        <w:wordWrap/>
        <w:overflowPunct/>
        <w:topLinePunct w:val="0"/>
        <w:bidi w:val="0"/>
        <w:snapToGrid/>
        <w:spacing w:line="560" w:lineRule="exact"/>
        <w:rPr>
          <w:rFonts w:hint="eastAsia"/>
          <w:color w:val="000000"/>
        </w:rPr>
      </w:pPr>
    </w:p>
    <w:p w14:paraId="152D536F">
      <w:pPr>
        <w:keepNext w:val="0"/>
        <w:keepLines w:val="0"/>
        <w:pageBreakBefore w:val="0"/>
        <w:kinsoku/>
        <w:wordWrap/>
        <w:overflowPunct/>
        <w:topLinePunct w:val="0"/>
        <w:bidi w:val="0"/>
        <w:snapToGrid/>
        <w:spacing w:line="560" w:lineRule="exact"/>
        <w:rPr>
          <w:rFonts w:hint="eastAsia"/>
          <w:color w:val="000000"/>
        </w:rPr>
      </w:pPr>
    </w:p>
    <w:p w14:paraId="60E675EA">
      <w:pPr>
        <w:keepNext w:val="0"/>
        <w:keepLines w:val="0"/>
        <w:pageBreakBefore w:val="0"/>
        <w:kinsoku/>
        <w:wordWrap/>
        <w:overflowPunct/>
        <w:topLinePunct w:val="0"/>
        <w:bidi w:val="0"/>
        <w:snapToGrid/>
        <w:spacing w:line="560" w:lineRule="exact"/>
        <w:rPr>
          <w:rFonts w:hint="eastAsia"/>
          <w:color w:val="000000"/>
        </w:rPr>
      </w:pPr>
    </w:p>
    <w:p w14:paraId="4A6C2CD6">
      <w:pPr>
        <w:keepNext w:val="0"/>
        <w:keepLines w:val="0"/>
        <w:pageBreakBefore w:val="0"/>
        <w:kinsoku/>
        <w:wordWrap/>
        <w:overflowPunct/>
        <w:topLinePunct w:val="0"/>
        <w:bidi w:val="0"/>
        <w:snapToGrid/>
        <w:spacing w:line="560" w:lineRule="exact"/>
        <w:rPr>
          <w:rFonts w:hint="eastAsia"/>
          <w:color w:val="000000"/>
        </w:rPr>
      </w:pPr>
    </w:p>
    <w:p w14:paraId="4F402B29">
      <w:pPr>
        <w:keepNext w:val="0"/>
        <w:keepLines w:val="0"/>
        <w:pageBreakBefore w:val="0"/>
        <w:kinsoku/>
        <w:wordWrap/>
        <w:overflowPunct/>
        <w:topLinePunct w:val="0"/>
        <w:bidi w:val="0"/>
        <w:snapToGrid/>
        <w:spacing w:line="560" w:lineRule="exact"/>
        <w:rPr>
          <w:rFonts w:hint="eastAsia"/>
          <w:color w:val="000000"/>
        </w:rPr>
      </w:pPr>
    </w:p>
    <w:p w14:paraId="55134514">
      <w:pPr>
        <w:keepNext w:val="0"/>
        <w:keepLines w:val="0"/>
        <w:pageBreakBefore w:val="0"/>
        <w:kinsoku/>
        <w:wordWrap/>
        <w:overflowPunct/>
        <w:topLinePunct w:val="0"/>
        <w:bidi w:val="0"/>
        <w:snapToGrid/>
        <w:spacing w:line="560" w:lineRule="exact"/>
        <w:rPr>
          <w:rFonts w:hint="eastAsia"/>
          <w:color w:val="000000"/>
        </w:rPr>
      </w:pPr>
    </w:p>
    <w:p w14:paraId="0EF801F8">
      <w:pPr>
        <w:keepNext w:val="0"/>
        <w:keepLines w:val="0"/>
        <w:pageBreakBefore w:val="0"/>
        <w:kinsoku/>
        <w:wordWrap/>
        <w:overflowPunct/>
        <w:topLinePunct w:val="0"/>
        <w:bidi w:val="0"/>
        <w:snapToGrid/>
        <w:spacing w:line="560" w:lineRule="exact"/>
        <w:rPr>
          <w:rFonts w:hint="eastAsia"/>
          <w:color w:val="000000"/>
        </w:rPr>
      </w:pPr>
    </w:p>
    <w:p w14:paraId="2AB0B598">
      <w:pPr>
        <w:keepNext w:val="0"/>
        <w:keepLines w:val="0"/>
        <w:pageBreakBefore w:val="0"/>
        <w:kinsoku/>
        <w:wordWrap/>
        <w:overflowPunct/>
        <w:topLinePunct w:val="0"/>
        <w:bidi w:val="0"/>
        <w:snapToGrid/>
        <w:spacing w:line="560" w:lineRule="exact"/>
        <w:rPr>
          <w:rFonts w:hint="eastAsia"/>
          <w:color w:val="000000"/>
        </w:rPr>
      </w:pPr>
    </w:p>
    <w:p w14:paraId="0B5063F1">
      <w:pPr>
        <w:keepNext w:val="0"/>
        <w:keepLines w:val="0"/>
        <w:pageBreakBefore w:val="0"/>
        <w:widowControl/>
        <w:kinsoku/>
        <w:wordWrap/>
        <w:overflowPunct/>
        <w:topLinePunct w:val="0"/>
        <w:bidi w:val="0"/>
        <w:snapToGrid/>
        <w:spacing w:line="5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keepNext w:val="0"/>
        <w:keepLines w:val="0"/>
        <w:pageBreakBefore w:val="0"/>
        <w:widowControl/>
        <w:kinsoku/>
        <w:wordWrap/>
        <w:overflowPunct/>
        <w:topLinePunct w:val="0"/>
        <w:bidi w:val="0"/>
        <w:snapToGrid/>
        <w:spacing w:line="560" w:lineRule="exact"/>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6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6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keepNext w:val="0"/>
        <w:keepLines w:val="0"/>
        <w:pageBreakBefore w:val="0"/>
        <w:kinsoku/>
        <w:wordWrap/>
        <w:overflowPunct/>
        <w:topLinePunct w:val="0"/>
        <w:bidi w:val="0"/>
        <w:snapToGrid/>
        <w:spacing w:line="560" w:lineRule="exact"/>
        <w:rPr>
          <w:rFonts w:hint="eastAsia"/>
          <w:color w:val="000000"/>
        </w:rPr>
      </w:pPr>
    </w:p>
    <w:p w14:paraId="351E08A6">
      <w:pPr>
        <w:keepNext w:val="0"/>
        <w:keepLines w:val="0"/>
        <w:pageBreakBefore w:val="0"/>
        <w:kinsoku/>
        <w:wordWrap/>
        <w:overflowPunct/>
        <w:topLinePunct w:val="0"/>
        <w:bidi w:val="0"/>
        <w:snapToGrid/>
        <w:spacing w:line="560" w:lineRule="exact"/>
        <w:rPr>
          <w:rFonts w:hint="eastAsia"/>
          <w:color w:val="000000"/>
        </w:rPr>
      </w:pPr>
    </w:p>
    <w:p w14:paraId="3D520837">
      <w:pPr>
        <w:keepNext w:val="0"/>
        <w:keepLines w:val="0"/>
        <w:pageBreakBefore w:val="0"/>
        <w:kinsoku/>
        <w:wordWrap/>
        <w:overflowPunct/>
        <w:topLinePunct w:val="0"/>
        <w:bidi w:val="0"/>
        <w:snapToGrid/>
        <w:spacing w:line="560" w:lineRule="exact"/>
        <w:rPr>
          <w:rFonts w:hint="eastAsia"/>
          <w:color w:val="000000"/>
        </w:rPr>
      </w:pPr>
    </w:p>
    <w:p w14:paraId="354B5816">
      <w:pPr>
        <w:keepNext w:val="0"/>
        <w:keepLines w:val="0"/>
        <w:pageBreakBefore w:val="0"/>
        <w:kinsoku/>
        <w:wordWrap/>
        <w:overflowPunct/>
        <w:topLinePunct w:val="0"/>
        <w:bidi w:val="0"/>
        <w:snapToGrid/>
        <w:spacing w:line="560" w:lineRule="exact"/>
        <w:rPr>
          <w:rFonts w:hint="eastAsia"/>
          <w:color w:val="000000"/>
        </w:rPr>
      </w:pPr>
    </w:p>
    <w:p w14:paraId="1EEBA1BB">
      <w:pPr>
        <w:keepNext w:val="0"/>
        <w:keepLines w:val="0"/>
        <w:pageBreakBefore w:val="0"/>
        <w:kinsoku/>
        <w:wordWrap/>
        <w:overflowPunct/>
        <w:topLinePunct w:val="0"/>
        <w:bidi w:val="0"/>
        <w:snapToGrid/>
        <w:spacing w:line="560" w:lineRule="exact"/>
        <w:rPr>
          <w:rFonts w:hint="eastAsia"/>
          <w:color w:val="000000"/>
        </w:rPr>
      </w:pPr>
    </w:p>
    <w:p w14:paraId="71D32F53">
      <w:pPr>
        <w:keepNext w:val="0"/>
        <w:keepLines w:val="0"/>
        <w:pageBreakBefore w:val="0"/>
        <w:kinsoku/>
        <w:wordWrap/>
        <w:overflowPunct/>
        <w:topLinePunct w:val="0"/>
        <w:bidi w:val="0"/>
        <w:snapToGrid/>
        <w:spacing w:line="560" w:lineRule="exact"/>
        <w:rPr>
          <w:rFonts w:hint="eastAsia"/>
          <w:color w:val="000000"/>
        </w:rPr>
      </w:pPr>
    </w:p>
    <w:p w14:paraId="2F5D54FE">
      <w:pPr>
        <w:keepNext w:val="0"/>
        <w:keepLines w:val="0"/>
        <w:pageBreakBefore w:val="0"/>
        <w:kinsoku/>
        <w:wordWrap/>
        <w:overflowPunct/>
        <w:topLinePunct w:val="0"/>
        <w:bidi w:val="0"/>
        <w:snapToGrid/>
        <w:spacing w:line="560" w:lineRule="exact"/>
        <w:rPr>
          <w:rFonts w:hint="eastAsia"/>
          <w:color w:val="000000"/>
        </w:rPr>
      </w:pPr>
    </w:p>
    <w:p w14:paraId="1C2E837B">
      <w:pPr>
        <w:keepNext w:val="0"/>
        <w:keepLines w:val="0"/>
        <w:pageBreakBefore w:val="0"/>
        <w:kinsoku/>
        <w:wordWrap/>
        <w:overflowPunct/>
        <w:topLinePunct w:val="0"/>
        <w:bidi w:val="0"/>
        <w:snapToGrid/>
        <w:spacing w:line="560" w:lineRule="exact"/>
        <w:rPr>
          <w:rFonts w:hint="eastAsia"/>
          <w:color w:val="000000"/>
        </w:rPr>
      </w:pPr>
    </w:p>
    <w:p w14:paraId="61197366">
      <w:pPr>
        <w:keepNext w:val="0"/>
        <w:keepLines w:val="0"/>
        <w:pageBreakBefore w:val="0"/>
        <w:kinsoku/>
        <w:wordWrap/>
        <w:overflowPunct/>
        <w:topLinePunct w:val="0"/>
        <w:bidi w:val="0"/>
        <w:snapToGrid/>
        <w:spacing w:line="560" w:lineRule="exact"/>
        <w:rPr>
          <w:rFonts w:hint="eastAsia"/>
          <w:color w:val="000000"/>
        </w:rPr>
      </w:pPr>
    </w:p>
    <w:p w14:paraId="712266E0">
      <w:pPr>
        <w:keepNext w:val="0"/>
        <w:keepLines w:val="0"/>
        <w:pageBreakBefore w:val="0"/>
        <w:kinsoku/>
        <w:wordWrap/>
        <w:overflowPunct/>
        <w:topLinePunct w:val="0"/>
        <w:bidi w:val="0"/>
        <w:snapToGrid/>
        <w:spacing w:line="560" w:lineRule="exact"/>
        <w:rPr>
          <w:rFonts w:hint="eastAsia"/>
          <w:color w:val="000000"/>
        </w:rPr>
      </w:pPr>
    </w:p>
    <w:p w14:paraId="38B4EF22">
      <w:pPr>
        <w:keepNext w:val="0"/>
        <w:keepLines w:val="0"/>
        <w:pageBreakBefore w:val="0"/>
        <w:kinsoku/>
        <w:wordWrap/>
        <w:overflowPunct/>
        <w:topLinePunct w:val="0"/>
        <w:bidi w:val="0"/>
        <w:snapToGrid/>
        <w:spacing w:line="560" w:lineRule="exact"/>
        <w:rPr>
          <w:rFonts w:hint="eastAsia"/>
          <w:color w:val="000000"/>
        </w:rPr>
      </w:pPr>
    </w:p>
    <w:p w14:paraId="6AD1FBEB">
      <w:pPr>
        <w:keepNext w:val="0"/>
        <w:keepLines w:val="0"/>
        <w:pageBreakBefore w:val="0"/>
        <w:kinsoku/>
        <w:wordWrap/>
        <w:overflowPunct/>
        <w:topLinePunct w:val="0"/>
        <w:bidi w:val="0"/>
        <w:snapToGrid/>
        <w:spacing w:line="560" w:lineRule="exact"/>
        <w:rPr>
          <w:rFonts w:hint="eastAsia"/>
          <w:color w:val="000000"/>
        </w:rPr>
      </w:pPr>
    </w:p>
    <w:p w14:paraId="04DDD5BC">
      <w:pPr>
        <w:pStyle w:val="7"/>
        <w:keepNext w:val="0"/>
        <w:keepLines w:val="0"/>
        <w:pageBreakBefore w:val="0"/>
        <w:kinsoku/>
        <w:wordWrap/>
        <w:overflowPunct/>
        <w:topLinePunct w:val="0"/>
        <w:bidi w:val="0"/>
        <w:snapToGrid/>
        <w:spacing w:before="75" w:beforeAutospacing="0" w:after="75" w:afterAutospacing="0" w:line="560"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4"/>
        <w:keepNext w:val="0"/>
        <w:keepLines w:val="0"/>
        <w:pageBreakBefore w:val="0"/>
        <w:kinsoku/>
        <w:wordWrap/>
        <w:overflowPunct/>
        <w:topLinePunct w:val="0"/>
        <w:bidi w:val="0"/>
        <w:snapToGrid/>
        <w:spacing w:line="560" w:lineRule="exact"/>
        <w:rPr>
          <w:rFonts w:hint="eastAsia"/>
        </w:rPr>
      </w:pPr>
    </w:p>
    <w:p w14:paraId="5393C0F9">
      <w:pPr>
        <w:pStyle w:val="7"/>
        <w:keepNext w:val="0"/>
        <w:keepLines w:val="0"/>
        <w:pageBreakBefore w:val="0"/>
        <w:kinsoku/>
        <w:wordWrap/>
        <w:overflowPunct/>
        <w:topLinePunct w:val="0"/>
        <w:bidi w:val="0"/>
        <w:snapToGrid/>
        <w:spacing w:before="75" w:beforeAutospacing="0" w:after="75" w:afterAutospacing="0"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7"/>
        <w:keepNext w:val="0"/>
        <w:keepLines w:val="0"/>
        <w:pageBreakBefore w:val="0"/>
        <w:numPr>
          <w:ilvl w:val="0"/>
          <w:numId w:val="3"/>
        </w:numPr>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cs="Times New Roman"/>
          <w:bCs/>
          <w:color w:val="000000"/>
          <w:kern w:val="2"/>
        </w:rPr>
      </w:pPr>
    </w:p>
    <w:p w14:paraId="5FEAB6AC">
      <w:pPr>
        <w:pStyle w:val="7"/>
        <w:keepNext w:val="0"/>
        <w:keepLines w:val="0"/>
        <w:pageBreakBefore w:val="0"/>
        <w:kinsoku/>
        <w:wordWrap/>
        <w:overflowPunct/>
        <w:topLinePunct w:val="0"/>
        <w:bidi w:val="0"/>
        <w:snapToGrid/>
        <w:spacing w:before="75" w:beforeAutospacing="0" w:after="75" w:afterAutospacing="0" w:line="560"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7"/>
        <w:keepNext w:val="0"/>
        <w:keepLines w:val="0"/>
        <w:pageBreakBefore w:val="0"/>
        <w:kinsoku/>
        <w:wordWrap/>
        <w:overflowPunct/>
        <w:topLinePunct w:val="0"/>
        <w:bidi w:val="0"/>
        <w:snapToGrid/>
        <w:spacing w:before="75" w:beforeAutospacing="0" w:after="75" w:afterAutospacing="0" w:line="560"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F7761E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7415156">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60B125B7">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0A49B9EE">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6412053">
      <w:pPr>
        <w:keepNext w:val="0"/>
        <w:keepLines w:val="0"/>
        <w:pageBreakBefore w:val="0"/>
        <w:widowControl/>
        <w:kinsoku/>
        <w:wordWrap/>
        <w:overflowPunct/>
        <w:topLinePunct w:val="0"/>
        <w:bidi w:val="0"/>
        <w:snapToGrid/>
        <w:spacing w:line="560" w:lineRule="exact"/>
        <w:ind w:firstLine="278" w:firstLineChars="99"/>
        <w:rPr>
          <w:rFonts w:hint="eastAsia"/>
          <w:b/>
          <w:color w:val="000000"/>
          <w:sz w:val="28"/>
          <w:szCs w:val="28"/>
        </w:rPr>
      </w:pPr>
    </w:p>
    <w:p w14:paraId="1A897FC6">
      <w:pPr>
        <w:keepNext w:val="0"/>
        <w:keepLines w:val="0"/>
        <w:pageBreakBefore w:val="0"/>
        <w:kinsoku/>
        <w:wordWrap/>
        <w:overflowPunct/>
        <w:topLinePunct w:val="0"/>
        <w:bidi w:val="0"/>
        <w:snapToGrid/>
        <w:spacing w:line="560"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节能环保产品声明函</w:t>
      </w:r>
    </w:p>
    <w:p w14:paraId="2946D8DF">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致普定县中医医院：</w:t>
      </w:r>
    </w:p>
    <w:p w14:paraId="21A0E2B9">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本公司郑重声明，本次参选中本公司所投（全部/部分）产品属于“节能产品清单”或“环保产品清单”有效期内中的产品，产品信息见下表：</w:t>
      </w:r>
    </w:p>
    <w:tbl>
      <w:tblPr>
        <w:tblStyle w:val="9"/>
        <w:tblW w:w="99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1239"/>
        <w:gridCol w:w="1417"/>
        <w:gridCol w:w="1559"/>
        <w:gridCol w:w="851"/>
        <w:gridCol w:w="1276"/>
        <w:gridCol w:w="1417"/>
        <w:gridCol w:w="1276"/>
      </w:tblGrid>
      <w:tr w14:paraId="2765A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87" w:type="dxa"/>
            <w:vMerge w:val="restart"/>
            <w:noWrap w:val="0"/>
            <w:vAlign w:val="center"/>
          </w:tcPr>
          <w:p w14:paraId="2507AAF1">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序号</w:t>
            </w:r>
          </w:p>
        </w:tc>
        <w:tc>
          <w:tcPr>
            <w:tcW w:w="1239" w:type="dxa"/>
            <w:vMerge w:val="restart"/>
            <w:noWrap w:val="0"/>
            <w:vAlign w:val="center"/>
          </w:tcPr>
          <w:p w14:paraId="1AC3E0EE">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产品名称</w:t>
            </w:r>
          </w:p>
        </w:tc>
        <w:tc>
          <w:tcPr>
            <w:tcW w:w="1417" w:type="dxa"/>
            <w:vMerge w:val="restart"/>
            <w:noWrap w:val="0"/>
            <w:vAlign w:val="center"/>
          </w:tcPr>
          <w:p w14:paraId="1CD0EA43">
            <w:pPr>
              <w:keepNext w:val="0"/>
              <w:keepLines w:val="0"/>
              <w:pageBreakBefore w:val="0"/>
              <w:widowControl/>
              <w:kinsoku/>
              <w:wordWrap/>
              <w:overflowPunct/>
              <w:topLinePunct w:val="0"/>
              <w:bidi w:val="0"/>
              <w:snapToGrid/>
              <w:spacing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制造商名称</w:t>
            </w:r>
          </w:p>
        </w:tc>
        <w:tc>
          <w:tcPr>
            <w:tcW w:w="1559" w:type="dxa"/>
            <w:vMerge w:val="restart"/>
            <w:noWrap w:val="0"/>
            <w:vAlign w:val="center"/>
          </w:tcPr>
          <w:p w14:paraId="37CDB002">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品牌</w:t>
            </w:r>
          </w:p>
        </w:tc>
        <w:tc>
          <w:tcPr>
            <w:tcW w:w="851" w:type="dxa"/>
            <w:vMerge w:val="restart"/>
            <w:noWrap w:val="0"/>
            <w:vAlign w:val="center"/>
          </w:tcPr>
          <w:p w14:paraId="74A9F327">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7DB7066A">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产品型号</w:t>
            </w:r>
          </w:p>
          <w:p w14:paraId="2E0CCF7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2693" w:type="dxa"/>
            <w:gridSpan w:val="2"/>
            <w:noWrap w:val="0"/>
            <w:vAlign w:val="center"/>
          </w:tcPr>
          <w:p w14:paraId="155A717D">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节能产品清单或环保产品清单内编号</w:t>
            </w:r>
          </w:p>
        </w:tc>
        <w:tc>
          <w:tcPr>
            <w:tcW w:w="1276" w:type="dxa"/>
            <w:vMerge w:val="restart"/>
            <w:noWrap w:val="0"/>
            <w:vAlign w:val="center"/>
          </w:tcPr>
          <w:p w14:paraId="385CED9F">
            <w:pPr>
              <w:keepNext w:val="0"/>
              <w:keepLines w:val="0"/>
              <w:pageBreakBefore w:val="0"/>
              <w:widowControl/>
              <w:kinsoku/>
              <w:wordWrap/>
              <w:overflowPunct/>
              <w:topLinePunct w:val="0"/>
              <w:bidi w:val="0"/>
              <w:snapToGrid/>
              <w:spacing w:before="156" w:line="560" w:lineRule="exact"/>
              <w:rPr>
                <w:rFonts w:cs="Courier New"/>
                <w:bCs/>
                <w:color w:val="000000"/>
                <w:sz w:val="24"/>
                <w:szCs w:val="24"/>
              </w:rPr>
            </w:pPr>
            <w:r>
              <w:rPr>
                <w:rFonts w:hint="eastAsia" w:ascii="方正仿宋_GB2312" w:hAnsi="方正仿宋_GB2312" w:eastAsia="方正仿宋_GB2312" w:cs="方正仿宋_GB2312"/>
                <w:color w:val="000000"/>
                <w:sz w:val="24"/>
                <w:szCs w:val="24"/>
                <w:lang w:val="en-US" w:eastAsia="zh-CN"/>
              </w:rPr>
              <w:t>节能产品清单或环保产品清单期号</w:t>
            </w:r>
          </w:p>
        </w:tc>
      </w:tr>
      <w:tr w14:paraId="0A377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87" w:type="dxa"/>
            <w:vMerge w:val="continue"/>
            <w:noWrap w:val="0"/>
            <w:vAlign w:val="center"/>
          </w:tcPr>
          <w:p w14:paraId="3B2BCE3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39" w:type="dxa"/>
            <w:vMerge w:val="continue"/>
            <w:noWrap w:val="0"/>
            <w:vAlign w:val="center"/>
          </w:tcPr>
          <w:p w14:paraId="139D919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417" w:type="dxa"/>
            <w:vMerge w:val="continue"/>
            <w:noWrap w:val="0"/>
            <w:vAlign w:val="center"/>
          </w:tcPr>
          <w:p w14:paraId="1F3ACDDF">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559" w:type="dxa"/>
            <w:vMerge w:val="continue"/>
            <w:noWrap w:val="0"/>
            <w:vAlign w:val="center"/>
          </w:tcPr>
          <w:p w14:paraId="409256D4">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851" w:type="dxa"/>
            <w:vMerge w:val="continue"/>
            <w:noWrap w:val="0"/>
            <w:vAlign w:val="center"/>
          </w:tcPr>
          <w:p w14:paraId="0A5A2848">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tc>
        <w:tc>
          <w:tcPr>
            <w:tcW w:w="1276" w:type="dxa"/>
            <w:noWrap w:val="0"/>
            <w:vAlign w:val="center"/>
          </w:tcPr>
          <w:p w14:paraId="250518CF">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节能产品清单编号</w:t>
            </w:r>
          </w:p>
        </w:tc>
        <w:tc>
          <w:tcPr>
            <w:tcW w:w="1417" w:type="dxa"/>
            <w:noWrap w:val="0"/>
            <w:vAlign w:val="center"/>
          </w:tcPr>
          <w:p w14:paraId="5F8D6780">
            <w:pPr>
              <w:keepNext w:val="0"/>
              <w:keepLines w:val="0"/>
              <w:pageBreakBefore w:val="0"/>
              <w:widowControl/>
              <w:kinsoku/>
              <w:wordWrap/>
              <w:overflowPunct/>
              <w:topLinePunct w:val="0"/>
              <w:bidi w:val="0"/>
              <w:snapToGrid/>
              <w:spacing w:before="156" w:line="560" w:lineRule="exact"/>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环保产品清单编号</w:t>
            </w:r>
          </w:p>
        </w:tc>
        <w:tc>
          <w:tcPr>
            <w:tcW w:w="1276" w:type="dxa"/>
            <w:vMerge w:val="continue"/>
            <w:noWrap w:val="0"/>
            <w:vAlign w:val="center"/>
          </w:tcPr>
          <w:p w14:paraId="6DF6FF12">
            <w:pPr>
              <w:keepNext w:val="0"/>
              <w:keepLines w:val="0"/>
              <w:pageBreakBefore w:val="0"/>
              <w:widowControl/>
              <w:kinsoku/>
              <w:wordWrap/>
              <w:overflowPunct/>
              <w:topLinePunct w:val="0"/>
              <w:bidi w:val="0"/>
              <w:snapToGrid/>
              <w:spacing w:line="560" w:lineRule="exact"/>
              <w:jc w:val="center"/>
              <w:rPr>
                <w:rFonts w:cs="Courier New"/>
                <w:bCs/>
                <w:color w:val="000000"/>
                <w:sz w:val="24"/>
                <w:szCs w:val="24"/>
              </w:rPr>
            </w:pPr>
          </w:p>
        </w:tc>
      </w:tr>
      <w:tr w14:paraId="321AE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887" w:type="dxa"/>
            <w:noWrap w:val="0"/>
            <w:vAlign w:val="top"/>
          </w:tcPr>
          <w:p w14:paraId="05B47944">
            <w:pPr>
              <w:keepNext w:val="0"/>
              <w:keepLines w:val="0"/>
              <w:pageBreakBefore w:val="0"/>
              <w:widowControl/>
              <w:kinsoku/>
              <w:wordWrap/>
              <w:overflowPunct/>
              <w:topLinePunct w:val="0"/>
              <w:bidi w:val="0"/>
              <w:snapToGrid/>
              <w:spacing w:line="560" w:lineRule="exact"/>
              <w:rPr>
                <w:rFonts w:cs="Courier New"/>
                <w:b/>
                <w:bCs/>
                <w:sz w:val="24"/>
                <w:szCs w:val="24"/>
              </w:rPr>
            </w:pPr>
          </w:p>
          <w:p w14:paraId="0D4DE25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47B79742">
            <w:pPr>
              <w:keepNext w:val="0"/>
              <w:keepLines w:val="0"/>
              <w:pageBreakBefore w:val="0"/>
              <w:widowControl/>
              <w:kinsoku/>
              <w:wordWrap/>
              <w:overflowPunct/>
              <w:topLinePunct w:val="0"/>
              <w:bidi w:val="0"/>
              <w:snapToGrid/>
              <w:spacing w:line="560" w:lineRule="exact"/>
              <w:rPr>
                <w:rFonts w:cs="Courier New"/>
                <w:b/>
                <w:bCs/>
                <w:sz w:val="24"/>
                <w:szCs w:val="24"/>
              </w:rPr>
            </w:pPr>
          </w:p>
          <w:p w14:paraId="69DF9DF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384D487D">
            <w:pPr>
              <w:keepNext w:val="0"/>
              <w:keepLines w:val="0"/>
              <w:pageBreakBefore w:val="0"/>
              <w:widowControl/>
              <w:kinsoku/>
              <w:wordWrap/>
              <w:overflowPunct/>
              <w:topLinePunct w:val="0"/>
              <w:bidi w:val="0"/>
              <w:snapToGrid/>
              <w:spacing w:line="560" w:lineRule="exact"/>
              <w:rPr>
                <w:rFonts w:cs="Courier New"/>
                <w:b/>
                <w:bCs/>
                <w:sz w:val="24"/>
                <w:szCs w:val="24"/>
              </w:rPr>
            </w:pPr>
          </w:p>
          <w:p w14:paraId="3B48725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298D423D">
            <w:pPr>
              <w:keepNext w:val="0"/>
              <w:keepLines w:val="0"/>
              <w:pageBreakBefore w:val="0"/>
              <w:widowControl/>
              <w:kinsoku/>
              <w:wordWrap/>
              <w:overflowPunct/>
              <w:topLinePunct w:val="0"/>
              <w:bidi w:val="0"/>
              <w:snapToGrid/>
              <w:spacing w:line="560" w:lineRule="exact"/>
              <w:rPr>
                <w:rFonts w:cs="Courier New"/>
                <w:b/>
                <w:bCs/>
                <w:sz w:val="24"/>
                <w:szCs w:val="24"/>
              </w:rPr>
            </w:pPr>
          </w:p>
          <w:p w14:paraId="73C511A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6CA0F42">
            <w:pPr>
              <w:keepNext w:val="0"/>
              <w:keepLines w:val="0"/>
              <w:pageBreakBefore w:val="0"/>
              <w:widowControl/>
              <w:kinsoku/>
              <w:wordWrap/>
              <w:overflowPunct/>
              <w:topLinePunct w:val="0"/>
              <w:bidi w:val="0"/>
              <w:snapToGrid/>
              <w:spacing w:line="560" w:lineRule="exact"/>
              <w:rPr>
                <w:rFonts w:cs="Courier New"/>
                <w:b/>
                <w:bCs/>
                <w:sz w:val="24"/>
                <w:szCs w:val="24"/>
              </w:rPr>
            </w:pPr>
          </w:p>
          <w:p w14:paraId="708BB080">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30360809">
            <w:pPr>
              <w:keepNext w:val="0"/>
              <w:keepLines w:val="0"/>
              <w:pageBreakBefore w:val="0"/>
              <w:widowControl/>
              <w:kinsoku/>
              <w:wordWrap/>
              <w:overflowPunct/>
              <w:topLinePunct w:val="0"/>
              <w:bidi w:val="0"/>
              <w:snapToGrid/>
              <w:spacing w:line="560" w:lineRule="exact"/>
              <w:rPr>
                <w:rFonts w:cs="Courier New"/>
                <w:b/>
                <w:bCs/>
                <w:sz w:val="24"/>
                <w:szCs w:val="24"/>
              </w:rPr>
            </w:pPr>
          </w:p>
          <w:p w14:paraId="3F51C03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5437AD14">
            <w:pPr>
              <w:keepNext w:val="0"/>
              <w:keepLines w:val="0"/>
              <w:pageBreakBefore w:val="0"/>
              <w:widowControl/>
              <w:kinsoku/>
              <w:wordWrap/>
              <w:overflowPunct/>
              <w:topLinePunct w:val="0"/>
              <w:bidi w:val="0"/>
              <w:snapToGrid/>
              <w:spacing w:line="560" w:lineRule="exact"/>
              <w:rPr>
                <w:rFonts w:cs="Courier New"/>
                <w:b/>
                <w:bCs/>
                <w:sz w:val="24"/>
                <w:szCs w:val="24"/>
              </w:rPr>
            </w:pPr>
          </w:p>
          <w:p w14:paraId="4DE4C511">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7651D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887" w:type="dxa"/>
            <w:noWrap w:val="0"/>
            <w:vAlign w:val="top"/>
          </w:tcPr>
          <w:p w14:paraId="276E1BBB">
            <w:pPr>
              <w:keepNext w:val="0"/>
              <w:keepLines w:val="0"/>
              <w:pageBreakBefore w:val="0"/>
              <w:widowControl/>
              <w:kinsoku/>
              <w:wordWrap/>
              <w:overflowPunct/>
              <w:topLinePunct w:val="0"/>
              <w:bidi w:val="0"/>
              <w:snapToGrid/>
              <w:spacing w:line="560" w:lineRule="exact"/>
              <w:rPr>
                <w:rFonts w:cs="Courier New"/>
                <w:b/>
                <w:bCs/>
                <w:sz w:val="24"/>
                <w:szCs w:val="24"/>
              </w:rPr>
            </w:pPr>
          </w:p>
          <w:p w14:paraId="674D85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05559F5E">
            <w:pPr>
              <w:keepNext w:val="0"/>
              <w:keepLines w:val="0"/>
              <w:pageBreakBefore w:val="0"/>
              <w:widowControl/>
              <w:kinsoku/>
              <w:wordWrap/>
              <w:overflowPunct/>
              <w:topLinePunct w:val="0"/>
              <w:bidi w:val="0"/>
              <w:snapToGrid/>
              <w:spacing w:line="560" w:lineRule="exact"/>
              <w:rPr>
                <w:rFonts w:cs="Courier New"/>
                <w:b/>
                <w:bCs/>
                <w:sz w:val="24"/>
                <w:szCs w:val="24"/>
              </w:rPr>
            </w:pPr>
          </w:p>
          <w:p w14:paraId="1F009C6E">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618680">
            <w:pPr>
              <w:keepNext w:val="0"/>
              <w:keepLines w:val="0"/>
              <w:pageBreakBefore w:val="0"/>
              <w:widowControl/>
              <w:kinsoku/>
              <w:wordWrap/>
              <w:overflowPunct/>
              <w:topLinePunct w:val="0"/>
              <w:bidi w:val="0"/>
              <w:snapToGrid/>
              <w:spacing w:line="560" w:lineRule="exact"/>
              <w:rPr>
                <w:rFonts w:cs="Courier New"/>
                <w:b/>
                <w:bCs/>
                <w:sz w:val="24"/>
                <w:szCs w:val="24"/>
              </w:rPr>
            </w:pPr>
          </w:p>
          <w:p w14:paraId="1D08320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727141E">
            <w:pPr>
              <w:keepNext w:val="0"/>
              <w:keepLines w:val="0"/>
              <w:pageBreakBefore w:val="0"/>
              <w:widowControl/>
              <w:kinsoku/>
              <w:wordWrap/>
              <w:overflowPunct/>
              <w:topLinePunct w:val="0"/>
              <w:bidi w:val="0"/>
              <w:snapToGrid/>
              <w:spacing w:line="560" w:lineRule="exact"/>
              <w:rPr>
                <w:rFonts w:cs="Courier New"/>
                <w:b/>
                <w:bCs/>
                <w:sz w:val="24"/>
                <w:szCs w:val="24"/>
              </w:rPr>
            </w:pPr>
          </w:p>
          <w:p w14:paraId="1FD6F71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EF84235">
            <w:pPr>
              <w:keepNext w:val="0"/>
              <w:keepLines w:val="0"/>
              <w:pageBreakBefore w:val="0"/>
              <w:widowControl/>
              <w:kinsoku/>
              <w:wordWrap/>
              <w:overflowPunct/>
              <w:topLinePunct w:val="0"/>
              <w:bidi w:val="0"/>
              <w:snapToGrid/>
              <w:spacing w:line="560" w:lineRule="exact"/>
              <w:rPr>
                <w:rFonts w:cs="Courier New"/>
                <w:b/>
                <w:bCs/>
                <w:sz w:val="24"/>
                <w:szCs w:val="24"/>
              </w:rPr>
            </w:pPr>
          </w:p>
          <w:p w14:paraId="7663C39B">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44CFEA35">
            <w:pPr>
              <w:keepNext w:val="0"/>
              <w:keepLines w:val="0"/>
              <w:pageBreakBefore w:val="0"/>
              <w:widowControl/>
              <w:kinsoku/>
              <w:wordWrap/>
              <w:overflowPunct/>
              <w:topLinePunct w:val="0"/>
              <w:bidi w:val="0"/>
              <w:snapToGrid/>
              <w:spacing w:line="560" w:lineRule="exact"/>
              <w:rPr>
                <w:rFonts w:cs="Courier New"/>
                <w:b/>
                <w:bCs/>
                <w:sz w:val="24"/>
                <w:szCs w:val="24"/>
              </w:rPr>
            </w:pPr>
          </w:p>
          <w:p w14:paraId="3D53E79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BFB62D6">
            <w:pPr>
              <w:keepNext w:val="0"/>
              <w:keepLines w:val="0"/>
              <w:pageBreakBefore w:val="0"/>
              <w:widowControl/>
              <w:kinsoku/>
              <w:wordWrap/>
              <w:overflowPunct/>
              <w:topLinePunct w:val="0"/>
              <w:bidi w:val="0"/>
              <w:snapToGrid/>
              <w:spacing w:line="560" w:lineRule="exact"/>
              <w:rPr>
                <w:rFonts w:cs="Courier New"/>
                <w:b/>
                <w:bCs/>
                <w:sz w:val="24"/>
                <w:szCs w:val="24"/>
              </w:rPr>
            </w:pPr>
          </w:p>
          <w:p w14:paraId="5A887A8B">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082C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4B5A395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65F11C5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2377379">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0CE7B264">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8091C2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6A944B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49D6B5F8">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4CA06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72D77EF7">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521420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6F5A4F5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5B51554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30B93DC1">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12A6FE3C">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273971D3">
            <w:pPr>
              <w:keepNext w:val="0"/>
              <w:keepLines w:val="0"/>
              <w:pageBreakBefore w:val="0"/>
              <w:widowControl/>
              <w:kinsoku/>
              <w:wordWrap/>
              <w:overflowPunct/>
              <w:topLinePunct w:val="0"/>
              <w:bidi w:val="0"/>
              <w:snapToGrid/>
              <w:spacing w:line="560" w:lineRule="exact"/>
              <w:rPr>
                <w:rFonts w:cs="Courier New"/>
                <w:b/>
                <w:bCs/>
                <w:sz w:val="24"/>
                <w:szCs w:val="24"/>
              </w:rPr>
            </w:pPr>
          </w:p>
        </w:tc>
      </w:tr>
      <w:tr w14:paraId="2320B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87" w:type="dxa"/>
            <w:noWrap w:val="0"/>
            <w:vAlign w:val="top"/>
          </w:tcPr>
          <w:p w14:paraId="308C7B53">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39" w:type="dxa"/>
            <w:noWrap w:val="0"/>
            <w:vAlign w:val="top"/>
          </w:tcPr>
          <w:p w14:paraId="1168FDA6">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417" w:type="dxa"/>
            <w:noWrap w:val="0"/>
            <w:vAlign w:val="top"/>
          </w:tcPr>
          <w:p w14:paraId="7BE0A41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559" w:type="dxa"/>
            <w:noWrap w:val="0"/>
            <w:vAlign w:val="top"/>
          </w:tcPr>
          <w:p w14:paraId="18530DCD">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851" w:type="dxa"/>
            <w:noWrap w:val="0"/>
            <w:vAlign w:val="top"/>
          </w:tcPr>
          <w:p w14:paraId="507183E5">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2693" w:type="dxa"/>
            <w:gridSpan w:val="2"/>
            <w:noWrap w:val="0"/>
            <w:vAlign w:val="top"/>
          </w:tcPr>
          <w:p w14:paraId="689E2F92">
            <w:pPr>
              <w:keepNext w:val="0"/>
              <w:keepLines w:val="0"/>
              <w:pageBreakBefore w:val="0"/>
              <w:widowControl/>
              <w:kinsoku/>
              <w:wordWrap/>
              <w:overflowPunct/>
              <w:topLinePunct w:val="0"/>
              <w:bidi w:val="0"/>
              <w:snapToGrid/>
              <w:spacing w:line="560" w:lineRule="exact"/>
              <w:rPr>
                <w:rFonts w:cs="Courier New"/>
                <w:b/>
                <w:bCs/>
                <w:sz w:val="24"/>
                <w:szCs w:val="24"/>
              </w:rPr>
            </w:pPr>
          </w:p>
        </w:tc>
        <w:tc>
          <w:tcPr>
            <w:tcW w:w="1276" w:type="dxa"/>
            <w:noWrap w:val="0"/>
            <w:vAlign w:val="top"/>
          </w:tcPr>
          <w:p w14:paraId="69F3A730">
            <w:pPr>
              <w:keepNext w:val="0"/>
              <w:keepLines w:val="0"/>
              <w:pageBreakBefore w:val="0"/>
              <w:widowControl/>
              <w:kinsoku/>
              <w:wordWrap/>
              <w:overflowPunct/>
              <w:topLinePunct w:val="0"/>
              <w:bidi w:val="0"/>
              <w:snapToGrid/>
              <w:spacing w:line="560" w:lineRule="exact"/>
              <w:rPr>
                <w:rFonts w:cs="Courier New"/>
                <w:b/>
                <w:bCs/>
                <w:sz w:val="24"/>
                <w:szCs w:val="24"/>
              </w:rPr>
            </w:pPr>
          </w:p>
        </w:tc>
      </w:tr>
    </w:tbl>
    <w:p w14:paraId="0A5F1E4C">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本公司对上述声明的真实性负责。如有虚假，将依法承担相应责任。</w:t>
      </w:r>
    </w:p>
    <w:p w14:paraId="5505361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611DA43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2D51FB20">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p>
    <w:p w14:paraId="33763253">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供应商名称（单位盖章）：</w:t>
      </w:r>
    </w:p>
    <w:p w14:paraId="0E2ED91A">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法定代表人或授权代表（签字或印章）：</w:t>
      </w:r>
    </w:p>
    <w:p w14:paraId="0082188D">
      <w:pPr>
        <w:keepNext w:val="0"/>
        <w:keepLines w:val="0"/>
        <w:pageBreakBefore w:val="0"/>
        <w:widowControl/>
        <w:kinsoku/>
        <w:wordWrap/>
        <w:overflowPunct/>
        <w:topLinePunct w:val="0"/>
        <w:bidi w:val="0"/>
        <w:snapToGrid/>
        <w:spacing w:line="560" w:lineRule="exact"/>
        <w:ind w:firstLine="480" w:firstLineChars="200"/>
        <w:rPr>
          <w:rFonts w:hint="eastAsia"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lang w:val="en-US" w:eastAsia="zh-CN"/>
        </w:rPr>
        <w:t>日期：</w:t>
      </w:r>
    </w:p>
    <w:p w14:paraId="7AE125B5">
      <w:pPr>
        <w:pStyle w:val="6"/>
        <w:keepNext w:val="0"/>
        <w:keepLines w:val="0"/>
        <w:pageBreakBefore w:val="0"/>
        <w:kinsoku/>
        <w:wordWrap/>
        <w:overflowPunct/>
        <w:topLinePunct w:val="0"/>
        <w:bidi w:val="0"/>
        <w:snapToGrid/>
        <w:spacing w:line="560" w:lineRule="exact"/>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1D4315-01D7-47D9-BE45-DA1EC05CD652}"/>
  </w:font>
  <w:font w:name="Courier New">
    <w:panose1 w:val="02070309020205020404"/>
    <w:charset w:val="01"/>
    <w:family w:val="modern"/>
    <w:pitch w:val="default"/>
    <w:sig w:usb0="E0002AFF" w:usb1="C0007843" w:usb2="00000009" w:usb3="00000000" w:csb0="400001FF" w:csb1="FFFF0000"/>
    <w:embedRegular r:id="rId2" w:fontKey="{CF765D5A-8E28-48FB-8C43-289059E4D6E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46D9DBB5-58D7-40A6-9A17-E05D5086ADA7}"/>
  </w:font>
  <w:font w:name="方正公文小标宋">
    <w:panose1 w:val="02000500000000000000"/>
    <w:charset w:val="86"/>
    <w:family w:val="auto"/>
    <w:pitch w:val="default"/>
    <w:sig w:usb0="A00002BF" w:usb1="38CF7CFA" w:usb2="00000016" w:usb3="00000000" w:csb0="00040001" w:csb1="00000000"/>
    <w:embedRegular r:id="rId4" w:fontKey="{B12DDCC9-72D7-439C-B077-C50FF380D766}"/>
  </w:font>
  <w:font w:name="仿宋_GB2312">
    <w:panose1 w:val="02010609030101010101"/>
    <w:charset w:val="86"/>
    <w:family w:val="modern"/>
    <w:pitch w:val="default"/>
    <w:sig w:usb0="00000001" w:usb1="080E0000" w:usb2="00000000" w:usb3="00000000" w:csb0="00040000" w:csb1="00000000"/>
    <w:embedRegular r:id="rId5" w:fontKey="{87DB7FA7-D735-4ED0-9022-DA17EE6C0B30}"/>
  </w:font>
  <w:font w:name="方正仿宋_GB2312">
    <w:panose1 w:val="02000000000000000000"/>
    <w:charset w:val="86"/>
    <w:family w:val="auto"/>
    <w:pitch w:val="default"/>
    <w:sig w:usb0="A00002BF" w:usb1="184F6CFA" w:usb2="00000012" w:usb3="00000000" w:csb0="00040001" w:csb1="00000000"/>
    <w:embedRegular r:id="rId6" w:fontKey="{25C62A51-AE95-4FD3-BEC2-36941E87B164}"/>
  </w:font>
  <w:font w:name="仿宋">
    <w:panose1 w:val="02010609060101010101"/>
    <w:charset w:val="86"/>
    <w:family w:val="auto"/>
    <w:pitch w:val="default"/>
    <w:sig w:usb0="800002BF" w:usb1="38CF7CFA" w:usb2="00000016" w:usb3="00000000" w:csb0="00040001" w:csb1="00000000"/>
    <w:embedRegular r:id="rId7" w:fontKey="{43A9BA34-CAFA-4789-8B9C-89CAEAF723DA}"/>
  </w:font>
  <w:font w:name="仿宋GB2312">
    <w:altName w:val="仿宋"/>
    <w:panose1 w:val="00000000000000000000"/>
    <w:charset w:val="00"/>
    <w:family w:val="auto"/>
    <w:pitch w:val="default"/>
    <w:sig w:usb0="00000000" w:usb1="00000000" w:usb2="00000000" w:usb3="00000000" w:csb0="00040001" w:csb1="00000000"/>
    <w:embedRegular r:id="rId8" w:fontKey="{C779E0DD-5C10-4176-9DF9-DD93B18538D8}"/>
  </w:font>
  <w:font w:name="楷体">
    <w:panose1 w:val="02010609060101010101"/>
    <w:charset w:val="86"/>
    <w:family w:val="modern"/>
    <w:pitch w:val="default"/>
    <w:sig w:usb0="800002BF" w:usb1="38CF7CFA" w:usb2="00000016" w:usb3="00000000" w:csb0="00040001" w:csb1="00000000"/>
    <w:embedRegular r:id="rId9" w:fontKey="{7CF278F4-FEA4-4396-917E-4A6EC2CCCB4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CF4010F3"/>
    <w:multiLevelType w:val="singleLevel"/>
    <w:tmpl w:val="CF4010F3"/>
    <w:lvl w:ilvl="0" w:tentative="0">
      <w:start w:val="1"/>
      <w:numFmt w:val="chineseCounting"/>
      <w:suff w:val="nothing"/>
      <w:lvlText w:val="%1、"/>
      <w:lvlJc w:val="left"/>
      <w:rPr>
        <w:rFonts w:hint="eastAsia"/>
      </w:rPr>
    </w:lvl>
  </w:abstractNum>
  <w:abstractNum w:abstractNumId="2">
    <w:nsid w:val="064489AD"/>
    <w:multiLevelType w:val="singleLevel"/>
    <w:tmpl w:val="064489AD"/>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3BE6B1F"/>
    <w:rsid w:val="04BA3523"/>
    <w:rsid w:val="04E672BC"/>
    <w:rsid w:val="054059B4"/>
    <w:rsid w:val="055811AB"/>
    <w:rsid w:val="05715487"/>
    <w:rsid w:val="05760E3B"/>
    <w:rsid w:val="06395E48"/>
    <w:rsid w:val="06B710D2"/>
    <w:rsid w:val="075924B0"/>
    <w:rsid w:val="080F54C1"/>
    <w:rsid w:val="0860786B"/>
    <w:rsid w:val="09D70571"/>
    <w:rsid w:val="0A321DFE"/>
    <w:rsid w:val="0B495927"/>
    <w:rsid w:val="0BCC55C1"/>
    <w:rsid w:val="0D1A4077"/>
    <w:rsid w:val="0D303A2A"/>
    <w:rsid w:val="0D961B6A"/>
    <w:rsid w:val="0F0F107F"/>
    <w:rsid w:val="106B1DB9"/>
    <w:rsid w:val="10E45B64"/>
    <w:rsid w:val="112D32AC"/>
    <w:rsid w:val="115911B3"/>
    <w:rsid w:val="11DD69C8"/>
    <w:rsid w:val="11F87087"/>
    <w:rsid w:val="121E608C"/>
    <w:rsid w:val="12AF5CBB"/>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EB147BC"/>
    <w:rsid w:val="2F561D87"/>
    <w:rsid w:val="2FAF3144"/>
    <w:rsid w:val="30846D58"/>
    <w:rsid w:val="31305FFF"/>
    <w:rsid w:val="31BF3F99"/>
    <w:rsid w:val="31CE5624"/>
    <w:rsid w:val="31E54502"/>
    <w:rsid w:val="32473812"/>
    <w:rsid w:val="32A07AD4"/>
    <w:rsid w:val="32D76FCF"/>
    <w:rsid w:val="33411EE7"/>
    <w:rsid w:val="33997F60"/>
    <w:rsid w:val="3436559A"/>
    <w:rsid w:val="345246B9"/>
    <w:rsid w:val="34D802AB"/>
    <w:rsid w:val="36147409"/>
    <w:rsid w:val="36B43CA6"/>
    <w:rsid w:val="37D12506"/>
    <w:rsid w:val="38123961"/>
    <w:rsid w:val="392361A2"/>
    <w:rsid w:val="3A11118A"/>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8A12FDB"/>
    <w:rsid w:val="48CE7996"/>
    <w:rsid w:val="49F607E8"/>
    <w:rsid w:val="503508BB"/>
    <w:rsid w:val="52254DEC"/>
    <w:rsid w:val="52DA7FFA"/>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AC29FB"/>
    <w:rsid w:val="5F67483F"/>
    <w:rsid w:val="5FE86FDF"/>
    <w:rsid w:val="60621B53"/>
    <w:rsid w:val="60D64762"/>
    <w:rsid w:val="61173CD8"/>
    <w:rsid w:val="61936542"/>
    <w:rsid w:val="648F17F0"/>
    <w:rsid w:val="64AC39EF"/>
    <w:rsid w:val="64FA147B"/>
    <w:rsid w:val="65B754E7"/>
    <w:rsid w:val="65DD0872"/>
    <w:rsid w:val="65F063C1"/>
    <w:rsid w:val="66236FA2"/>
    <w:rsid w:val="662D69CA"/>
    <w:rsid w:val="663C7C5F"/>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74D7580"/>
    <w:rsid w:val="78DA77C6"/>
    <w:rsid w:val="79C530F6"/>
    <w:rsid w:val="79D974F4"/>
    <w:rsid w:val="79F67186"/>
    <w:rsid w:val="7A3C062F"/>
    <w:rsid w:val="7B294ABD"/>
    <w:rsid w:val="7B5D1505"/>
    <w:rsid w:val="7B8E319C"/>
    <w:rsid w:val="7BA61555"/>
    <w:rsid w:val="7CE401F1"/>
    <w:rsid w:val="7D4805F1"/>
    <w:rsid w:val="7D4A1795"/>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next w:val="1"/>
    <w:semiHidden/>
    <w:unhideWhenUsed/>
    <w:qFormat/>
    <w:uiPriority w:val="99"/>
    <w:pPr>
      <w:spacing w:after="120"/>
    </w:pPr>
  </w:style>
  <w:style w:type="paragraph" w:styleId="5">
    <w:name w:val="Plain Text"/>
    <w:basedOn w:val="1"/>
    <w:qFormat/>
    <w:uiPriority w:val="0"/>
    <w:rPr>
      <w:rFonts w:hAnsi="Courier New"/>
      <w:szCs w:val="20"/>
    </w:rPr>
  </w:style>
  <w:style w:type="paragraph" w:styleId="6">
    <w:name w:val="toc 1"/>
    <w:basedOn w:val="1"/>
    <w:next w:val="1"/>
    <w:qFormat/>
    <w:uiPriority w:val="0"/>
    <w:rPr>
      <w:rFonts w:ascii="Times New Roman" w:hAnsi="Times New Roman"/>
      <w:szCs w:val="24"/>
    </w:rPr>
  </w:style>
  <w:style w:type="paragraph" w:styleId="7">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8">
    <w:name w:val="Body Text First Indent"/>
    <w:basedOn w:val="4"/>
    <w:qFormat/>
    <w:uiPriority w:val="99"/>
    <w:pPr>
      <w:ind w:firstLine="420" w:firstLineChars="100"/>
    </w:pPr>
    <w:rPr>
      <w:rFonts w:ascii="Times New Roman" w:hAnsi="Times New Roman"/>
      <w:szCs w:val="24"/>
      <w:lang w:val="en-US" w:eastAsia="zh-CN"/>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qFormat/>
    <w:uiPriority w:val="0"/>
    <w:rPr>
      <w:color w:val="0000FF"/>
      <w:u w:val="single"/>
    </w:rPr>
  </w:style>
  <w:style w:type="paragraph" w:styleId="14">
    <w:name w:val="List Paragraph"/>
    <w:basedOn w:val="1"/>
    <w:qFormat/>
    <w:uiPriority w:val="34"/>
    <w:pPr>
      <w:ind w:firstLine="420" w:firstLineChars="200"/>
    </w:pPr>
  </w:style>
  <w:style w:type="character" w:customStyle="1" w:styleId="15">
    <w:name w:val="NormalCharacter"/>
    <w:semiHidden/>
    <w:qFormat/>
    <w:uiPriority w:val="0"/>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null3"/>
    <w:hidden/>
    <w:qFormat/>
    <w:uiPriority w:val="0"/>
    <w:rPr>
      <w:rFonts w:hint="eastAsia" w:asciiTheme="minorHAnsi" w:hAnsiTheme="minorHAnsi" w:eastAsiaTheme="minorEastAsia" w:cstheme="minorBidi"/>
      <w:lang w:val="en-US" w:eastAsia="zh-Hans"/>
    </w:rPr>
  </w:style>
  <w:style w:type="character" w:customStyle="1" w:styleId="18">
    <w:name w:val="font41"/>
    <w:basedOn w:val="11"/>
    <w:qFormat/>
    <w:uiPriority w:val="0"/>
    <w:rPr>
      <w:rFonts w:hint="eastAsia" w:ascii="宋体" w:hAnsi="宋体" w:eastAsia="宋体" w:cs="宋体"/>
      <w:color w:val="000000"/>
      <w:sz w:val="20"/>
      <w:szCs w:val="20"/>
      <w:u w:val="none"/>
    </w:rPr>
  </w:style>
  <w:style w:type="character" w:customStyle="1" w:styleId="19">
    <w:name w:val="font11"/>
    <w:basedOn w:val="11"/>
    <w:qFormat/>
    <w:uiPriority w:val="0"/>
    <w:rPr>
      <w:rFonts w:hint="eastAsia" w:ascii="宋体" w:hAnsi="宋体" w:eastAsia="宋体" w:cs="宋体"/>
      <w:color w:val="000000"/>
      <w:sz w:val="20"/>
      <w:szCs w:val="20"/>
      <w:u w:val="none"/>
    </w:rPr>
  </w:style>
  <w:style w:type="character" w:customStyle="1" w:styleId="20">
    <w:name w:val="font71"/>
    <w:basedOn w:val="11"/>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5783</Words>
  <Characters>5963</Characters>
  <Lines>0</Lines>
  <Paragraphs>0</Paragraphs>
  <TotalTime>15</TotalTime>
  <ScaleCrop>false</ScaleCrop>
  <LinksUpToDate>false</LinksUpToDate>
  <CharactersWithSpaces>6895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2026-03-10T02:51:00Z</cp:lastPrinted>
  <dcterms:modified xsi:type="dcterms:W3CDTF">2026-03-10T03:00:15Z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C08B904521384CA4B3DA721ACE54B2CD_13</vt:lpwstr>
  </property>
  <property fmtid="{D5CDD505-2E9C-101B-9397-08002B2CF9AE}" pid="4" name="KSOTemplateDocerSaveRecord">
    <vt:lpwstr>eyJoZGlkIjoiZDJhNDQyODc4MTEzYTJiYmQ0OWU4NzRmOWJhOGY1ZjEiLCJ1c2VySWQiOiIxNDU5MDA4NDU0In0=</vt:lpwstr>
  </property>
</Properties>
</file>