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根据医院发展需要，结合我院实际情况，现决定以院内比选方式采购普定县中医医院信息机房整体搬迁服务，欢迎符合资质的服务商参加比选，现将比选有关事项公告如下：</w:t>
      </w:r>
    </w:p>
    <w:p w14:paraId="3AE73AFF">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项目名称：</w:t>
      </w:r>
      <w:r>
        <w:rPr>
          <w:rFonts w:hint="eastAsia" w:ascii="方正仿宋_GB2312" w:hAnsi="方正仿宋_GB2312" w:eastAsia="方正仿宋_GB2312" w:cs="方正仿宋_GB2312"/>
          <w:sz w:val="32"/>
          <w:szCs w:val="32"/>
          <w:lang w:eastAsia="zh-CN"/>
        </w:rPr>
        <w:t>普定县中医医院信息机房整体搬迁服务服务</w:t>
      </w:r>
    </w:p>
    <w:p w14:paraId="2F78CE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项目编号：</w:t>
      </w:r>
      <w:r>
        <w:rPr>
          <w:rFonts w:hint="eastAsia" w:ascii="方正仿宋_GB2312" w:hAnsi="方正仿宋_GB2312" w:eastAsia="方正仿宋_GB2312" w:cs="方正仿宋_GB2312"/>
          <w:sz w:val="32"/>
          <w:szCs w:val="32"/>
          <w:lang w:val="en-US" w:eastAsia="zh-CN"/>
        </w:rPr>
        <w:t>ZY20260008</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50000元</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1第一款：参选运营商条件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2026年3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25</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；请符合资质要求、有意参选的服务商公司法定代表人或委托代理人在公示期内（正常上班时间）到普定县中医医院招采办（普定县中医医院行政楼二楼）报名，报名时提供比选文件预审核。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拟2026年3月26日上午10:00，如有变动，另行通知。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附件1.普定县中医医院机房整体搬迁技术服务服务院内比选参选须知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6"/>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55FB7EA9">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p>
    <w:p w14:paraId="30FCB010">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p>
    <w:p w14:paraId="3915FA01">
      <w:pPr>
        <w:pStyle w:val="3"/>
        <w:rPr>
          <w:rFonts w:hint="eastAsia"/>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2026年3月19日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6375D8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8FDF23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DCB26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BEAAEEC">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984F86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7F422F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08E5537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普定县中医医院机房整体搬迁服务服务</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院内比选参选须知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一、参选服务商条件 </w:t>
      </w:r>
    </w:p>
    <w:p w14:paraId="14425C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有效期内营业执照；</w:t>
      </w:r>
    </w:p>
    <w:p w14:paraId="7FCD535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参选服务商或委托服务商具有信息系统集成相关资质、运行维护相关证书及ISO信息安全管理体系认证证书等；</w:t>
      </w:r>
    </w:p>
    <w:p w14:paraId="58D0BA8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参选代表为法定代表人须提供本人身份证；（参选代表非法定代表人参加的提交法定代表人针对本项目的授权委托书、被授权人身份证）；</w:t>
      </w:r>
    </w:p>
    <w:p w14:paraId="52D3E0D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近三个月财务状况报表及依法缴纳税收的证明材料；</w:t>
      </w:r>
    </w:p>
    <w:p w14:paraId="4C5323E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近三个月依法缴纳社会保障资金的良好记录； </w:t>
      </w:r>
    </w:p>
    <w:p w14:paraId="68A882C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供应商信用信息：对列入失信被执行人、重大税收违法案件当事人名单、政府采购严重违法失信行为记录名单且还在执行期的供应商，拒绝其参与政府采购活动。信用记录查询渠道为“信用中国”网站（www.creditchina.gov.cn）或中国政府采购网（www.ccgp.gov.cn），服务商须提供查询记录截图；</w:t>
      </w:r>
      <w:r>
        <w:rPr>
          <w:rFonts w:hint="eastAsia"/>
          <w:sz w:val="24"/>
          <w:szCs w:val="24"/>
        </w:rPr>
        <w:t xml:space="preserve"> </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参选服务要求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1.满足附件2的服务要求；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2.根据医院实际情况制定切实可行的机房整体搬迁技术服务实施方案。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参选服务商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机房整体搬迁技术服务</w:t>
      </w:r>
      <w:r>
        <w:rPr>
          <w:rFonts w:hint="eastAsia" w:ascii="仿宋" w:hAnsi="仿宋" w:eastAsia="仿宋" w:cs="仿宋"/>
          <w:sz w:val="32"/>
          <w:szCs w:val="32"/>
          <w:lang w:val="en-US" w:eastAsia="zh-CN"/>
        </w:rPr>
        <w:t>方案</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业绩证明材料（提供合同或者中标通知书）</w:t>
      </w:r>
    </w:p>
    <w:p w14:paraId="56ED1BF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参选服务商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 xml:space="preserve">。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有能力对我院信息机房进行整体搬迁服务。</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参选服务商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4F55C2B">
      <w:pPr>
        <w:pStyle w:val="3"/>
        <w:rPr>
          <w:rFonts w:hint="eastAsia" w:ascii="仿宋" w:hAnsi="仿宋" w:eastAsia="仿宋" w:cs="仿宋"/>
          <w:sz w:val="32"/>
          <w:szCs w:val="32"/>
          <w:lang w:val="en-US" w:eastAsia="zh-CN"/>
        </w:rPr>
      </w:pPr>
    </w:p>
    <w:p w14:paraId="4375182E">
      <w:pPr>
        <w:pStyle w:val="4"/>
        <w:rPr>
          <w:rFonts w:hint="eastAsia" w:ascii="仿宋" w:hAnsi="仿宋" w:eastAsia="仿宋" w:cs="仿宋"/>
          <w:sz w:val="32"/>
          <w:szCs w:val="32"/>
          <w:lang w:val="en-US" w:eastAsia="zh-CN"/>
        </w:rPr>
      </w:pPr>
    </w:p>
    <w:p w14:paraId="6D5F1FDA">
      <w:pPr>
        <w:pStyle w:val="4"/>
        <w:rPr>
          <w:rFonts w:hint="eastAsia" w:ascii="仿宋" w:hAnsi="仿宋" w:eastAsia="仿宋" w:cs="仿宋"/>
          <w:sz w:val="32"/>
          <w:szCs w:val="32"/>
          <w:lang w:val="en-US" w:eastAsia="zh-CN"/>
        </w:rPr>
      </w:pPr>
    </w:p>
    <w:p w14:paraId="481CDE0D">
      <w:pPr>
        <w:pStyle w:val="4"/>
        <w:rPr>
          <w:rFonts w:hint="eastAsia" w:ascii="仿宋" w:hAnsi="仿宋" w:eastAsia="仿宋" w:cs="仿宋"/>
          <w:sz w:val="32"/>
          <w:szCs w:val="32"/>
          <w:lang w:val="en-US" w:eastAsia="zh-CN"/>
        </w:rPr>
      </w:pPr>
    </w:p>
    <w:p w14:paraId="0CE51FF2">
      <w:pPr>
        <w:tabs>
          <w:tab w:val="left" w:pos="756"/>
        </w:tabs>
        <w:spacing w:line="560" w:lineRule="exact"/>
        <w:ind w:firstLine="6080" w:firstLineChars="1900"/>
        <w:rPr>
          <w:rFonts w:hint="eastAsia" w:ascii="仿宋" w:hAnsi="仿宋" w:eastAsia="仿宋" w:cs="仿宋"/>
          <w:sz w:val="32"/>
          <w:szCs w:val="32"/>
          <w:lang w:val="en-US" w:eastAsia="zh-CN"/>
        </w:rPr>
      </w:pPr>
    </w:p>
    <w:p w14:paraId="58BB7D1B">
      <w:pPr>
        <w:tabs>
          <w:tab w:val="left" w:pos="756"/>
        </w:tabs>
        <w:spacing w:line="560" w:lineRule="exact"/>
        <w:ind w:firstLine="6080" w:firstLineChars="1900"/>
        <w:rPr>
          <w:rFonts w:hint="eastAsia" w:ascii="仿宋" w:hAnsi="仿宋" w:eastAsia="仿宋" w:cs="仿宋"/>
          <w:sz w:val="32"/>
          <w:szCs w:val="32"/>
          <w:lang w:val="en-US" w:eastAsia="zh-CN"/>
        </w:rPr>
      </w:pPr>
    </w:p>
    <w:p w14:paraId="1B9ADC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7DE4336">
      <w:pPr>
        <w:pStyle w:val="3"/>
        <w:rPr>
          <w:rFonts w:hint="eastAsia" w:ascii="仿宋" w:hAnsi="仿宋" w:eastAsia="仿宋" w:cs="仿宋"/>
          <w:sz w:val="32"/>
          <w:szCs w:val="32"/>
          <w:lang w:val="en-US" w:eastAsia="zh-CN"/>
        </w:rPr>
      </w:pPr>
    </w:p>
    <w:p w14:paraId="43705B83">
      <w:pPr>
        <w:pStyle w:val="4"/>
        <w:rPr>
          <w:rFonts w:hint="eastAsia"/>
          <w:lang w:val="en-US" w:eastAsia="zh-CN"/>
        </w:rPr>
      </w:pPr>
    </w:p>
    <w:p w14:paraId="10193B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A6E9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DC80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EFADE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spacing w:before="0" w:line="240" w:lineRule="auto"/>
        <w:ind w:left="0" w:right="0" w:firstLine="0"/>
        <w:jc w:val="center"/>
        <w:rPr>
          <w:rFonts w:ascii="宋体" w:hAnsi="宋体" w:eastAsia="宋体" w:cs="宋体"/>
          <w:b/>
          <w:bCs/>
          <w:color w:val="auto"/>
          <w:sz w:val="30"/>
          <w:szCs w:val="30"/>
        </w:rPr>
      </w:pPr>
      <w:r>
        <w:rPr>
          <w:rFonts w:hint="eastAsia" w:ascii="方正小标宋简体" w:hAnsi="方正小标宋简体" w:eastAsia="方正小标宋简体" w:cs="方正小标宋简体"/>
          <w:b/>
          <w:bCs/>
          <w:color w:val="auto"/>
          <w:sz w:val="44"/>
          <w:szCs w:val="44"/>
          <w:lang w:val="en-US" w:eastAsia="zh-CN"/>
        </w:rPr>
        <w:t>服务内容</w:t>
      </w:r>
      <w:r>
        <w:rPr>
          <w:rFonts w:hint="eastAsia" w:ascii="方正小标宋简体" w:hAnsi="方正小标宋简体" w:eastAsia="方正小标宋简体" w:cs="方正小标宋简体"/>
          <w:b/>
          <w:bCs/>
          <w:color w:val="auto"/>
          <w:sz w:val="44"/>
          <w:szCs w:val="44"/>
          <w:lang w:eastAsia="zh-CN"/>
        </w:rPr>
        <w:t>及要求</w:t>
      </w:r>
    </w:p>
    <w:tbl>
      <w:tblPr>
        <w:tblStyle w:val="1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7"/>
        <w:gridCol w:w="5180"/>
        <w:gridCol w:w="1593"/>
      </w:tblGrid>
      <w:tr w14:paraId="0AC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vAlign w:val="center"/>
          </w:tcPr>
          <w:p w14:paraId="5DFD5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序号</w:t>
            </w:r>
          </w:p>
        </w:tc>
        <w:tc>
          <w:tcPr>
            <w:tcW w:w="2077" w:type="dxa"/>
            <w:vAlign w:val="center"/>
          </w:tcPr>
          <w:p w14:paraId="17C9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服务内容</w:t>
            </w:r>
          </w:p>
        </w:tc>
        <w:tc>
          <w:tcPr>
            <w:tcW w:w="5180" w:type="dxa"/>
            <w:shd w:val="clear" w:color="auto" w:fill="auto"/>
            <w:vAlign w:val="center"/>
          </w:tcPr>
          <w:p w14:paraId="34C1A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服务要求</w:t>
            </w:r>
          </w:p>
        </w:tc>
        <w:tc>
          <w:tcPr>
            <w:tcW w:w="1593" w:type="dxa"/>
            <w:vAlign w:val="center"/>
          </w:tcPr>
          <w:p w14:paraId="7E086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w:t>
            </w:r>
          </w:p>
        </w:tc>
      </w:tr>
      <w:tr w14:paraId="2BE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3" w:hRule="atLeast"/>
          <w:jc w:val="center"/>
        </w:trPr>
        <w:tc>
          <w:tcPr>
            <w:tcW w:w="808" w:type="dxa"/>
            <w:vAlign w:val="center"/>
          </w:tcPr>
          <w:p w14:paraId="7A5D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2077" w:type="dxa"/>
            <w:vAlign w:val="center"/>
          </w:tcPr>
          <w:p w14:paraId="0666B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普定县中医医院信息机房搬迁技术服务</w:t>
            </w:r>
          </w:p>
        </w:tc>
        <w:tc>
          <w:tcPr>
            <w:tcW w:w="5180" w:type="dxa"/>
            <w:shd w:val="clear" w:color="auto" w:fill="auto"/>
            <w:vAlign w:val="center"/>
          </w:tcPr>
          <w:p w14:paraId="4F9B906C">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对医院现在机房内的服务器、存储设备、网络安全设备搬迁</w:t>
            </w:r>
          </w:p>
          <w:p w14:paraId="4051DBC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2.网络设备集成、链路配置等打通连接</w:t>
            </w:r>
          </w:p>
        </w:tc>
        <w:tc>
          <w:tcPr>
            <w:tcW w:w="1593" w:type="dxa"/>
            <w:vAlign w:val="center"/>
          </w:tcPr>
          <w:p w14:paraId="682B3C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color w:val="000000" w:themeColor="text1"/>
                <w:sz w:val="22"/>
                <w:szCs w:val="24"/>
                <w:lang w:val="en-US" w:eastAsia="zh-CN"/>
                <w14:textFill>
                  <w14:solidFill>
                    <w14:schemeClr w14:val="tx1"/>
                  </w14:solidFill>
                </w14:textFill>
              </w:rPr>
            </w:pPr>
          </w:p>
        </w:tc>
      </w:tr>
    </w:tbl>
    <w:p w14:paraId="63160D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3F9130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1B6828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FEBB2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2E5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7374D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D8569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本项目评选要素包括：报价及合理性、是否满足服务需求及电梯维保</w:t>
      </w:r>
      <w:r>
        <w:rPr>
          <w:rFonts w:hint="eastAsia" w:ascii="仿宋" w:hAnsi="仿宋" w:eastAsia="仿宋" w:cs="仿宋"/>
          <w:sz w:val="32"/>
          <w:szCs w:val="32"/>
          <w:lang w:val="en-US" w:eastAsia="zh-CN"/>
        </w:rPr>
        <w:t>实施方案可操作性</w:t>
      </w:r>
      <w:r>
        <w:rPr>
          <w:rFonts w:hint="eastAsia" w:ascii="方正仿宋_GB2312" w:hAnsi="方正仿宋_GB2312" w:eastAsia="方正仿宋_GB2312" w:cs="方正仿宋_GB2312"/>
          <w:sz w:val="32"/>
          <w:szCs w:val="32"/>
          <w:lang w:eastAsia="zh-CN"/>
        </w:rPr>
        <w:t>、历史成交业绩、</w:t>
      </w:r>
      <w:r>
        <w:rPr>
          <w:rFonts w:hint="eastAsia" w:ascii="方正仿宋_GB2312" w:hAnsi="方正仿宋_GB2312" w:eastAsia="方正仿宋_GB2312" w:cs="方正仿宋_GB2312"/>
          <w:sz w:val="32"/>
          <w:szCs w:val="32"/>
          <w:lang w:val="en-US" w:eastAsia="zh-CN"/>
        </w:rPr>
        <w:t>企业综合实力、项目团队</w:t>
      </w:r>
      <w:r>
        <w:rPr>
          <w:rFonts w:hint="eastAsia" w:ascii="方正仿宋_GB2312" w:hAnsi="方正仿宋_GB2312" w:eastAsia="方正仿宋_GB2312" w:cs="方正仿宋_GB2312"/>
          <w:sz w:val="32"/>
          <w:szCs w:val="32"/>
          <w:lang w:eastAsia="zh-CN"/>
        </w:rPr>
        <w:t>等因素。</w:t>
      </w:r>
    </w:p>
    <w:p w14:paraId="40BB6A81">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F68301C">
      <w:pPr>
        <w:pStyle w:val="6"/>
      </w:pPr>
    </w:p>
    <w:tbl>
      <w:tblPr>
        <w:tblStyle w:val="9"/>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1DC6E87E">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3FC902F2">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78A38A3F">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5240BA37">
            <w:pPr>
              <w:pStyle w:val="3"/>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7FE053C2">
            <w:pPr>
              <w:pStyle w:val="3"/>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674AFFD8">
            <w:pPr>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t>报价</w:t>
            </w:r>
          </w:p>
        </w:tc>
        <w:tc>
          <w:tcPr>
            <w:tcW w:w="750" w:type="dxa"/>
            <w:noWrap w:val="0"/>
            <w:vAlign w:val="center"/>
          </w:tcPr>
          <w:p w14:paraId="0CBA4B72">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30分</w:t>
            </w:r>
          </w:p>
        </w:tc>
        <w:tc>
          <w:tcPr>
            <w:tcW w:w="11015" w:type="dxa"/>
            <w:noWrap w:val="0"/>
            <w:vAlign w:val="center"/>
          </w:tcPr>
          <w:p w14:paraId="19BFD94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1BF44AE1">
            <w:pPr>
              <w:spacing w:line="300" w:lineRule="exact"/>
              <w:rPr>
                <w:rFonts w:hint="eastAsia"/>
                <w:b/>
                <w:color w:val="000000" w:themeColor="text1"/>
                <w14:textFill>
                  <w14:solidFill>
                    <w14:schemeClr w14:val="tx1"/>
                  </w14:solidFill>
                </w14:textFill>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738" w:type="dxa"/>
            <w:vMerge w:val="continue"/>
            <w:noWrap w:val="0"/>
            <w:vAlign w:val="center"/>
          </w:tcPr>
          <w:p w14:paraId="3F4D358D">
            <w:pPr>
              <w:pStyle w:val="3"/>
              <w:spacing w:line="300" w:lineRule="exact"/>
              <w:ind w:firstLine="207" w:firstLineChars="98"/>
              <w:rPr>
                <w:b/>
                <w:bCs/>
                <w:color w:val="000000" w:themeColor="text1"/>
                <w:lang w:val="en-US" w:eastAsia="zh-CN"/>
                <w14:textFill>
                  <w14:solidFill>
                    <w14:schemeClr w14:val="tx1"/>
                  </w14:solidFill>
                </w14:textFill>
              </w:rPr>
            </w:pPr>
          </w:p>
        </w:tc>
        <w:tc>
          <w:tcPr>
            <w:tcW w:w="1511" w:type="dxa"/>
            <w:vMerge w:val="continue"/>
            <w:noWrap w:val="0"/>
            <w:vAlign w:val="center"/>
          </w:tcPr>
          <w:p w14:paraId="589530A8">
            <w:pPr>
              <w:spacing w:line="300" w:lineRule="exact"/>
              <w:ind w:firstLine="105" w:firstLineChars="50"/>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p>
        </w:tc>
        <w:tc>
          <w:tcPr>
            <w:tcW w:w="750" w:type="dxa"/>
            <w:noWrap w:val="0"/>
            <w:vAlign w:val="center"/>
          </w:tcPr>
          <w:p w14:paraId="3E08ACD3">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1015" w:type="dxa"/>
            <w:noWrap w:val="0"/>
            <w:vAlign w:val="center"/>
          </w:tcPr>
          <w:p w14:paraId="5B6F7470">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接受医院验收后6个月支付得10分，每增加一个月加1分（最高不超过20分）。</w:t>
            </w:r>
          </w:p>
          <w:p w14:paraId="410E4ECE">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付款周期低于六个月支付不得分</w:t>
            </w:r>
          </w:p>
        </w:tc>
        <w:tc>
          <w:tcPr>
            <w:tcW w:w="997" w:type="dxa"/>
            <w:noWrap w:val="0"/>
            <w:vAlign w:val="center"/>
          </w:tcPr>
          <w:p w14:paraId="077BEBEF">
            <w:pPr>
              <w:spacing w:line="300" w:lineRule="exact"/>
              <w:rPr>
                <w:rFonts w:hint="eastAsia"/>
                <w:b/>
                <w:color w:val="000000" w:themeColor="text1"/>
                <w14:textFill>
                  <w14:solidFill>
                    <w14:schemeClr w14:val="tx1"/>
                  </w14:solidFill>
                </w14:textFill>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738" w:type="dxa"/>
            <w:noWrap w:val="0"/>
            <w:vAlign w:val="center"/>
          </w:tcPr>
          <w:p w14:paraId="32182D57">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511" w:type="dxa"/>
            <w:noWrap w:val="0"/>
            <w:vAlign w:val="center"/>
          </w:tcPr>
          <w:p w14:paraId="1BBAC6E3">
            <w:pPr>
              <w:spacing w:line="300" w:lineRule="exact"/>
              <w:jc w:val="center"/>
              <w:rPr>
                <w:rFonts w:hint="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服务响应性</w:t>
            </w:r>
          </w:p>
          <w:p w14:paraId="3B117121">
            <w:pPr>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评价</w:t>
            </w:r>
          </w:p>
        </w:tc>
        <w:tc>
          <w:tcPr>
            <w:tcW w:w="750" w:type="dxa"/>
            <w:noWrap w:val="0"/>
            <w:vAlign w:val="center"/>
          </w:tcPr>
          <w:p w14:paraId="10E13816">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10分</w:t>
            </w:r>
          </w:p>
        </w:tc>
        <w:tc>
          <w:tcPr>
            <w:tcW w:w="11015" w:type="dxa"/>
            <w:noWrap w:val="0"/>
            <w:vAlign w:val="center"/>
          </w:tcPr>
          <w:p w14:paraId="2327ED0C">
            <w:pPr>
              <w:spacing w:line="300" w:lineRule="exact"/>
              <w:rPr>
                <w:rFonts w:hint="default"/>
                <w:iCs/>
                <w:color w:val="000000" w:themeColor="text1"/>
                <w:lang w:val="en-US" w:eastAsia="zh-CN"/>
                <w14:textFill>
                  <w14:solidFill>
                    <w14:schemeClr w14:val="tx1"/>
                  </w14:solidFill>
                </w14:textFill>
              </w:rPr>
            </w:pPr>
            <w:r>
              <w:rPr>
                <w:rFonts w:hint="eastAsia"/>
                <w:iCs/>
                <w:color w:val="000000" w:themeColor="text1"/>
                <w:lang w:val="en-US" w:eastAsia="zh-CN"/>
                <w14:textFill>
                  <w14:solidFill>
                    <w14:schemeClr w14:val="tx1"/>
                  </w14:solidFill>
                </w14:textFill>
              </w:rPr>
              <w:t>针对附件2的服务要求，相应得20分，部分响应或不响应不得分</w:t>
            </w:r>
          </w:p>
        </w:tc>
        <w:tc>
          <w:tcPr>
            <w:tcW w:w="997" w:type="dxa"/>
            <w:noWrap w:val="0"/>
            <w:vAlign w:val="center"/>
          </w:tcPr>
          <w:p w14:paraId="29600913">
            <w:pPr>
              <w:spacing w:line="300" w:lineRule="exact"/>
              <w:rPr>
                <w:rFonts w:cs="宋体"/>
                <w:bCs/>
                <w:color w:val="000000" w:themeColor="text1"/>
                <w14:textFill>
                  <w14:solidFill>
                    <w14:schemeClr w14:val="tx1"/>
                  </w14:solidFill>
                </w14:textFill>
              </w:rPr>
            </w:pPr>
          </w:p>
        </w:tc>
      </w:tr>
      <w:tr w14:paraId="6990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trPr>
        <w:tc>
          <w:tcPr>
            <w:tcW w:w="738" w:type="dxa"/>
            <w:noWrap w:val="0"/>
            <w:vAlign w:val="center"/>
          </w:tcPr>
          <w:p w14:paraId="4CA3E854">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511" w:type="dxa"/>
            <w:noWrap w:val="0"/>
            <w:vAlign w:val="center"/>
          </w:tcPr>
          <w:p w14:paraId="34E2E524">
            <w:pPr>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搬迁竣工时间</w:t>
            </w:r>
          </w:p>
        </w:tc>
        <w:tc>
          <w:tcPr>
            <w:tcW w:w="750" w:type="dxa"/>
            <w:noWrap w:val="0"/>
            <w:vAlign w:val="center"/>
          </w:tcPr>
          <w:p w14:paraId="1E41E909">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15分</w:t>
            </w:r>
          </w:p>
        </w:tc>
        <w:tc>
          <w:tcPr>
            <w:tcW w:w="11015" w:type="dxa"/>
            <w:noWrap w:val="0"/>
            <w:vAlign w:val="center"/>
          </w:tcPr>
          <w:p w14:paraId="43589E13">
            <w:pPr>
              <w:numPr>
                <w:ilvl w:val="0"/>
                <w:numId w:val="4"/>
              </w:numPr>
              <w:spacing w:line="300" w:lineRule="exact"/>
              <w:rPr>
                <w:rFonts w:hint="eastAsia"/>
                <w:iCs/>
                <w:color w:val="000000" w:themeColor="text1"/>
                <w:lang w:val="en-US" w:eastAsia="zh-CN"/>
                <w14:textFill>
                  <w14:solidFill>
                    <w14:schemeClr w14:val="tx1"/>
                  </w14:solidFill>
                </w14:textFill>
              </w:rPr>
            </w:pPr>
            <w:r>
              <w:rPr>
                <w:rFonts w:hint="eastAsia"/>
                <w:iCs/>
                <w:color w:val="000000" w:themeColor="text1"/>
                <w:lang w:val="en-US" w:eastAsia="zh-CN"/>
                <w14:textFill>
                  <w14:solidFill>
                    <w14:schemeClr w14:val="tx1"/>
                  </w14:solidFill>
                </w14:textFill>
              </w:rPr>
              <w:t>HIS、LIS、PACS、体检系统、EMR、电子发票等业务系统在12h内完成迁移并能投入使用得10分，完成时间在12-18h得5分,完成时间多于18h后投入使用不得分；</w:t>
            </w:r>
          </w:p>
          <w:p w14:paraId="4ACB62D6">
            <w:pPr>
              <w:numPr>
                <w:ilvl w:val="0"/>
                <w:numId w:val="4"/>
              </w:numPr>
              <w:spacing w:line="300" w:lineRule="exact"/>
              <w:rPr>
                <w:rFonts w:hint="default"/>
                <w:iCs/>
                <w:color w:val="000000" w:themeColor="text1"/>
                <w:lang w:val="en-US" w:eastAsia="zh-CN"/>
                <w14:textFill>
                  <w14:solidFill>
                    <w14:schemeClr w14:val="tx1"/>
                  </w14:solidFill>
                </w14:textFill>
              </w:rPr>
            </w:pPr>
            <w:r>
              <w:rPr>
                <w:rFonts w:hint="eastAsia"/>
                <w:iCs/>
                <w:color w:val="000000" w:themeColor="text1"/>
                <w:lang w:val="en-US" w:eastAsia="zh-CN"/>
                <w14:textFill>
                  <w14:solidFill>
                    <w14:schemeClr w14:val="tx1"/>
                  </w14:solidFill>
                </w14:textFill>
              </w:rPr>
              <w:t>其他系统在48h内完成迁移并能投入使用得5分，高于48h不得分。</w:t>
            </w:r>
          </w:p>
        </w:tc>
        <w:tc>
          <w:tcPr>
            <w:tcW w:w="997" w:type="dxa"/>
            <w:noWrap w:val="0"/>
            <w:vAlign w:val="center"/>
          </w:tcPr>
          <w:p w14:paraId="142F1C70">
            <w:pPr>
              <w:spacing w:line="300" w:lineRule="exact"/>
              <w:rPr>
                <w:rFonts w:cs="宋体"/>
                <w:bCs/>
                <w:color w:val="000000" w:themeColor="text1"/>
                <w14:textFill>
                  <w14:solidFill>
                    <w14:schemeClr w14:val="tx1"/>
                  </w14:solidFill>
                </w14:textFill>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exact"/>
        </w:trPr>
        <w:tc>
          <w:tcPr>
            <w:tcW w:w="738" w:type="dxa"/>
            <w:noWrap w:val="0"/>
            <w:vAlign w:val="center"/>
          </w:tcPr>
          <w:p w14:paraId="412893E7">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511" w:type="dxa"/>
            <w:noWrap w:val="0"/>
            <w:vAlign w:val="center"/>
          </w:tcPr>
          <w:p w14:paraId="5BF5DC8B">
            <w:pPr>
              <w:spacing w:line="300" w:lineRule="exact"/>
              <w:jc w:val="center"/>
              <w:rPr>
                <w:rFonts w:hint="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搬迁技术</w:t>
            </w:r>
          </w:p>
          <w:p w14:paraId="52DD1D77">
            <w:pPr>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服务方案</w:t>
            </w:r>
          </w:p>
        </w:tc>
        <w:tc>
          <w:tcPr>
            <w:tcW w:w="750" w:type="dxa"/>
            <w:noWrap w:val="0"/>
            <w:vAlign w:val="center"/>
          </w:tcPr>
          <w:p w14:paraId="13E865E1">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25</w:t>
            </w:r>
            <w:r>
              <w:rPr>
                <w:rFonts w:hint="eastAsia"/>
                <w:color w:val="000000" w:themeColor="text1"/>
                <w14:textFill>
                  <w14:solidFill>
                    <w14:schemeClr w14:val="tx1"/>
                  </w14:solidFill>
                </w14:textFill>
              </w:rPr>
              <w:t>分</w:t>
            </w:r>
          </w:p>
        </w:tc>
        <w:tc>
          <w:tcPr>
            <w:tcW w:w="11015" w:type="dxa"/>
            <w:noWrap w:val="0"/>
            <w:vAlign w:val="center"/>
          </w:tcPr>
          <w:p w14:paraId="12CB574E">
            <w:pPr>
              <w:spacing w:line="300" w:lineRule="exact"/>
              <w:rPr>
                <w:rFonts w:hint="eastAsia"/>
                <w:iCs/>
                <w:color w:val="000000" w:themeColor="text1"/>
                <w14:textFill>
                  <w14:solidFill>
                    <w14:schemeClr w14:val="tx1"/>
                  </w14:solidFill>
                </w14:textFill>
              </w:rPr>
            </w:pPr>
            <w:r>
              <w:rPr>
                <w:rFonts w:hint="eastAsia"/>
                <w:iCs/>
                <w:color w:val="000000" w:themeColor="text1"/>
                <w:lang w:eastAsia="zh-CN"/>
                <w14:textFill>
                  <w14:solidFill>
                    <w14:schemeClr w14:val="tx1"/>
                  </w14:solidFill>
                </w14:textFill>
              </w:rPr>
              <w:t>方案至少包含前期准备（</w:t>
            </w:r>
            <w:r>
              <w:rPr>
                <w:rFonts w:hint="eastAsia"/>
                <w:iCs/>
                <w:color w:val="000000" w:themeColor="text1"/>
                <w14:textFill>
                  <w14:solidFill>
                    <w14:schemeClr w14:val="tx1"/>
                  </w14:solidFill>
                </w14:textFill>
              </w:rPr>
              <w:t>现场勘察</w:t>
            </w:r>
            <w:r>
              <w:rPr>
                <w:rFonts w:hint="eastAsia"/>
                <w:iCs/>
                <w:color w:val="000000" w:themeColor="text1"/>
                <w:lang w:eastAsia="zh-CN"/>
                <w14:textFill>
                  <w14:solidFill>
                    <w14:schemeClr w14:val="tx1"/>
                  </w14:solidFill>
                </w14:textFill>
              </w:rPr>
              <w:t>、</w:t>
            </w:r>
            <w:r>
              <w:rPr>
                <w:rFonts w:hint="eastAsia"/>
                <w:iCs/>
                <w:color w:val="000000" w:themeColor="text1"/>
                <w14:textFill>
                  <w14:solidFill>
                    <w14:schemeClr w14:val="tx1"/>
                  </w14:solidFill>
                </w14:textFill>
              </w:rPr>
              <w:t>清点设备、测绘机房、确认搬迁路线</w:t>
            </w:r>
            <w:r>
              <w:rPr>
                <w:rFonts w:hint="eastAsia"/>
                <w:iCs/>
                <w:color w:val="000000" w:themeColor="text1"/>
                <w:lang w:eastAsia="zh-CN"/>
                <w14:textFill>
                  <w14:solidFill>
                    <w14:schemeClr w14:val="tx1"/>
                  </w14:solidFill>
                </w14:textFill>
              </w:rPr>
              <w:t>）、搬迁实施及风险应急保障等内容</w:t>
            </w:r>
          </w:p>
          <w:p w14:paraId="5DCB40D3">
            <w:pPr>
              <w:spacing w:line="300" w:lineRule="exact"/>
              <w:rPr>
                <w:rFonts w:hint="eastAsia" w:eastAsiaTheme="minorEastAsia"/>
                <w:iCs/>
                <w:color w:val="000000" w:themeColor="text1"/>
                <w:lang w:eastAsia="zh-CN"/>
                <w14:textFill>
                  <w14:solidFill>
                    <w14:schemeClr w14:val="tx1"/>
                  </w14:solidFill>
                </w14:textFill>
              </w:rPr>
            </w:pPr>
            <w:r>
              <w:rPr>
                <w:rFonts w:hint="eastAsia"/>
                <w:iCs/>
                <w:color w:val="000000" w:themeColor="text1"/>
                <w:lang w:val="en-US" w:eastAsia="zh-CN"/>
                <w14:textFill>
                  <w14:solidFill>
                    <w14:schemeClr w14:val="tx1"/>
                  </w14:solidFill>
                </w14:textFill>
              </w:rPr>
              <w:t>1</w:t>
            </w:r>
            <w:r>
              <w:rPr>
                <w:rFonts w:hint="eastAsia"/>
                <w:iCs/>
                <w:color w:val="000000" w:themeColor="text1"/>
                <w14:textFill>
                  <w14:solidFill>
                    <w14:schemeClr w14:val="tx1"/>
                  </w14:solidFill>
                </w14:textFill>
              </w:rPr>
              <w:t xml:space="preserve">. </w:t>
            </w:r>
            <w:r>
              <w:rPr>
                <w:rFonts w:hint="eastAsia"/>
                <w:iCs/>
                <w:color w:val="000000" w:themeColor="text1"/>
                <w:lang w:eastAsia="zh-CN"/>
                <w14:textFill>
                  <w14:solidFill>
                    <w14:schemeClr w14:val="tx1"/>
                  </w14:solidFill>
                </w14:textFill>
              </w:rPr>
              <w:t>团队介绍</w:t>
            </w:r>
          </w:p>
          <w:p w14:paraId="0A394229">
            <w:pPr>
              <w:spacing w:line="300" w:lineRule="exact"/>
              <w:rPr>
                <w:rFonts w:hint="eastAsia" w:eastAsiaTheme="minorEastAsia"/>
                <w:iCs/>
                <w:color w:val="000000" w:themeColor="text1"/>
                <w:lang w:eastAsia="zh-CN"/>
                <w14:textFill>
                  <w14:solidFill>
                    <w14:schemeClr w14:val="tx1"/>
                  </w14:solidFill>
                </w14:textFill>
              </w:rPr>
            </w:pPr>
            <w:r>
              <w:rPr>
                <w:rFonts w:hint="eastAsia"/>
                <w:iCs/>
                <w:color w:val="000000" w:themeColor="text1"/>
                <w:lang w:val="en-US" w:eastAsia="zh-CN"/>
                <w14:textFill>
                  <w14:solidFill>
                    <w14:schemeClr w14:val="tx1"/>
                  </w14:solidFill>
                </w14:textFill>
              </w:rPr>
              <w:t xml:space="preserve">2. </w:t>
            </w:r>
            <w:r>
              <w:rPr>
                <w:rFonts w:hint="eastAsia"/>
                <w:iCs/>
                <w:color w:val="000000" w:themeColor="text1"/>
                <w14:textFill>
                  <w14:solidFill>
                    <w14:schemeClr w14:val="tx1"/>
                  </w14:solidFill>
                </w14:textFill>
              </w:rPr>
              <w:t>数据备份：全量备份+增量备份+离线备份</w:t>
            </w:r>
            <w:r>
              <w:rPr>
                <w:rFonts w:hint="eastAsia"/>
                <w:iCs/>
                <w:color w:val="000000" w:themeColor="text1"/>
                <w:lang w:eastAsia="zh-CN"/>
                <w14:textFill>
                  <w14:solidFill>
                    <w14:schemeClr w14:val="tx1"/>
                  </w14:solidFill>
                </w14:textFill>
              </w:rPr>
              <w:t>，</w:t>
            </w:r>
            <w:r>
              <w:rPr>
                <w:rFonts w:hint="eastAsia"/>
                <w:iCs/>
                <w:color w:val="000000" w:themeColor="text1"/>
                <w14:textFill>
                  <w14:solidFill>
                    <w14:schemeClr w14:val="tx1"/>
                  </w14:solidFill>
                </w14:textFill>
              </w:rPr>
              <w:t>迁移前校验，迁移后比对</w:t>
            </w:r>
          </w:p>
          <w:p w14:paraId="029DC678">
            <w:pPr>
              <w:spacing w:line="300" w:lineRule="exact"/>
              <w:rPr>
                <w:rFonts w:hint="eastAsia"/>
                <w:iCs/>
                <w:color w:val="000000" w:themeColor="text1"/>
                <w:lang w:eastAsia="zh-CN"/>
                <w14:textFill>
                  <w14:solidFill>
                    <w14:schemeClr w14:val="tx1"/>
                  </w14:solidFill>
                </w14:textFill>
              </w:rPr>
            </w:pPr>
            <w:r>
              <w:rPr>
                <w:rFonts w:hint="eastAsia"/>
                <w:iCs/>
                <w:color w:val="000000" w:themeColor="text1"/>
                <w14:textFill>
                  <w14:solidFill>
                    <w14:schemeClr w14:val="tx1"/>
                  </w14:solidFill>
                </w14:textFill>
              </w:rPr>
              <w:t>3. 搬迁方案、应急预案、停机通知、回滚方案编制</w:t>
            </w:r>
          </w:p>
          <w:p w14:paraId="5FB630B0">
            <w:pPr>
              <w:spacing w:line="300" w:lineRule="exact"/>
              <w:rPr>
                <w:rFonts w:hint="eastAsia"/>
                <w:iCs/>
                <w:color w:val="000000" w:themeColor="text1"/>
                <w:lang w:eastAsia="zh-CN"/>
                <w14:textFill>
                  <w14:solidFill>
                    <w14:schemeClr w14:val="tx1"/>
                  </w14:solidFill>
                </w14:textFill>
              </w:rPr>
            </w:pPr>
            <w:r>
              <w:rPr>
                <w:rFonts w:hint="eastAsia"/>
                <w:iCs/>
                <w:color w:val="000000" w:themeColor="text1"/>
                <w14:textFill>
                  <w14:solidFill>
                    <w14:schemeClr w14:val="tx1"/>
                  </w14:solidFill>
                </w14:textFill>
              </w:rPr>
              <w:t>4. 搬迁工具准备：防静电袋、减震垫、标签、工具包、运输</w:t>
            </w:r>
            <w:r>
              <w:rPr>
                <w:rFonts w:hint="eastAsia"/>
                <w:iCs/>
                <w:color w:val="000000" w:themeColor="text1"/>
                <w:lang w:eastAsia="zh-CN"/>
                <w14:textFill>
                  <w14:solidFill>
                    <w14:schemeClr w14:val="tx1"/>
                  </w14:solidFill>
                </w14:textFill>
              </w:rPr>
              <w:t>等</w:t>
            </w:r>
          </w:p>
          <w:p w14:paraId="06B1F58C">
            <w:pPr>
              <w:spacing w:line="300" w:lineRule="exact"/>
              <w:rPr>
                <w:rFonts w:hint="eastAsia"/>
                <w:iCs/>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 xml:space="preserve">5. </w:t>
            </w:r>
            <w:r>
              <w:rPr>
                <w:rFonts w:hint="eastAsia"/>
                <w:iCs/>
                <w:color w:val="000000" w:themeColor="text1"/>
                <w14:textFill>
                  <w14:solidFill>
                    <w14:schemeClr w14:val="tx1"/>
                  </w14:solidFill>
                </w14:textFill>
              </w:rPr>
              <w:t>硬件损坏风险：全程防静电防震，购买设备运输保险</w:t>
            </w:r>
          </w:p>
          <w:p w14:paraId="30EE0F50">
            <w:pPr>
              <w:spacing w:line="300" w:lineRule="exact"/>
              <w:rPr>
                <w:rFonts w:hint="eastAsia"/>
                <w:iCs/>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 xml:space="preserve">6. </w:t>
            </w:r>
            <w:r>
              <w:rPr>
                <w:rFonts w:hint="eastAsia"/>
                <w:iCs/>
                <w:color w:val="000000" w:themeColor="text1"/>
                <w14:textFill>
                  <w14:solidFill>
                    <w14:schemeClr w14:val="tx1"/>
                  </w14:solidFill>
                </w14:textFill>
              </w:rPr>
              <w:t>网络故障风险：配置提前导出，割接时快速导入</w:t>
            </w:r>
          </w:p>
          <w:p w14:paraId="04F89D27">
            <w:pPr>
              <w:spacing w:line="300" w:lineRule="exact"/>
              <w:rPr>
                <w:rFonts w:hint="default" w:eastAsiaTheme="minorEastAsia"/>
                <w:iCs/>
                <w:color w:val="000000" w:themeColor="text1"/>
                <w:lang w:val="en-US" w:eastAsia="zh-CN"/>
                <w14:textFill>
                  <w14:solidFill>
                    <w14:schemeClr w14:val="tx1"/>
                  </w14:solidFill>
                </w14:textFill>
              </w:rPr>
            </w:pPr>
            <w:r>
              <w:rPr>
                <w:rFonts w:hint="eastAsia"/>
                <w:iCs/>
                <w:color w:val="000000" w:themeColor="text1"/>
                <w:lang w:val="en-US" w:eastAsia="zh-CN"/>
                <w14:textFill>
                  <w14:solidFill>
                    <w14:schemeClr w14:val="tx1"/>
                  </w14:solidFill>
                </w14:textFill>
              </w:rPr>
              <w:t>7. 免费提供网线、跳线、扎带、标签、理线架、防静电等材料</w:t>
            </w:r>
          </w:p>
          <w:p w14:paraId="37447BDB">
            <w:pPr>
              <w:spacing w:line="300" w:lineRule="exact"/>
              <w:rPr>
                <w:rFonts w:hint="eastAsia"/>
                <w:iCs/>
                <w:color w:val="000000" w:themeColor="text1"/>
                <w:lang w:val="en-US" w:eastAsia="zh-CN"/>
                <w14:textFill>
                  <w14:solidFill>
                    <w14:schemeClr w14:val="tx1"/>
                  </w14:solidFill>
                </w14:textFill>
              </w:rPr>
            </w:pPr>
            <w:r>
              <w:rPr>
                <w:rFonts w:hint="eastAsia"/>
                <w:iCs/>
                <w:color w:val="000000" w:themeColor="text1"/>
                <w:lang w:val="en-US" w:eastAsia="zh-CN"/>
                <w14:textFill>
                  <w14:solidFill>
                    <w14:schemeClr w14:val="tx1"/>
                  </w14:solidFill>
                </w14:textFill>
              </w:rPr>
              <w:t>评选人员根据服务方案进行评分，方案可行性高，应急保障方案切实可行，能很好的保证此次搬迁完满成功得25分，</w:t>
            </w:r>
          </w:p>
          <w:p w14:paraId="0222B28F">
            <w:pPr>
              <w:spacing w:line="300" w:lineRule="exact"/>
              <w:rPr>
                <w:rFonts w:hint="default"/>
                <w:iCs/>
                <w:color w:val="000000" w:themeColor="text1"/>
                <w:lang w:val="en-US" w:eastAsia="zh-CN"/>
                <w14:textFill>
                  <w14:solidFill>
                    <w14:schemeClr w14:val="tx1"/>
                  </w14:solidFill>
                </w14:textFill>
              </w:rPr>
            </w:pPr>
            <w:r>
              <w:rPr>
                <w:rFonts w:hint="eastAsia"/>
                <w:iCs/>
                <w:color w:val="000000" w:themeColor="text1"/>
                <w:lang w:val="en-US" w:eastAsia="zh-CN"/>
                <w14:textFill>
                  <w14:solidFill>
                    <w14:schemeClr w14:val="tx1"/>
                  </w14:solidFill>
                </w14:textFill>
              </w:rPr>
              <w:t>方案可行性较高，应急保障方案基本可行，能保证此次搬迁完满成功得15-20分，方案可行性一般，仅基本完成搬迁，存在安全风险或数据丢失风险等情况得2-15分。</w:t>
            </w:r>
          </w:p>
        </w:tc>
        <w:tc>
          <w:tcPr>
            <w:tcW w:w="997" w:type="dxa"/>
            <w:noWrap w:val="0"/>
            <w:vAlign w:val="center"/>
          </w:tcPr>
          <w:p w14:paraId="1D2F435A">
            <w:pPr>
              <w:spacing w:line="300" w:lineRule="exact"/>
              <w:rPr>
                <w:rFonts w:hint="eastAsia" w:cs="宋体"/>
                <w:color w:val="000000" w:themeColor="text1"/>
                <w:lang w:val="en-US" w:eastAsia="zh-CN"/>
                <w14:textFill>
                  <w14:solidFill>
                    <w14:schemeClr w14:val="tx1"/>
                  </w14:solidFill>
                </w14:textFill>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D679FA3">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备注：以上所提供的材料必须保证真实可信，如有虚假则取消参选资格并追究相关责任。</w:t>
            </w:r>
          </w:p>
          <w:p w14:paraId="75F57637">
            <w:pPr>
              <w:spacing w:line="300" w:lineRule="exact"/>
              <w:rPr>
                <w:rFonts w:hint="eastAsia"/>
                <w:b/>
                <w:color w:val="000000" w:themeColor="text1"/>
                <w14:textFill>
                  <w14:solidFill>
                    <w14:schemeClr w14:val="tx1"/>
                  </w14:solidFill>
                </w14:textFill>
              </w:rPr>
            </w:pPr>
          </w:p>
        </w:tc>
        <w:tc>
          <w:tcPr>
            <w:tcW w:w="997" w:type="dxa"/>
            <w:noWrap w:val="0"/>
            <w:vAlign w:val="center"/>
          </w:tcPr>
          <w:p w14:paraId="0690F6C2">
            <w:pPr>
              <w:spacing w:line="300" w:lineRule="exact"/>
              <w:rPr>
                <w:rFonts w:hint="eastAsia"/>
                <w:b/>
                <w:color w:val="000000" w:themeColor="text1"/>
                <w14:textFill>
                  <w14:solidFill>
                    <w14:schemeClr w14:val="tx1"/>
                  </w14:solidFill>
                </w14:textFill>
              </w:rPr>
            </w:pPr>
          </w:p>
        </w:tc>
      </w:tr>
    </w:tbl>
    <w:p w14:paraId="63962A16">
      <w:pPr>
        <w:pStyle w:val="6"/>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6"/>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6"/>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5"/>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bookmarkStart w:id="2" w:name="_GoBack"/>
      <w:bookmarkEnd w:id="2"/>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9"/>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9"/>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9"/>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8"/>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7"/>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7"/>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rPr>
          <w:rFonts w:hint="eastAsia"/>
        </w:rPr>
      </w:pPr>
    </w:p>
    <w:p w14:paraId="5393C0F9">
      <w:pPr>
        <w:pStyle w:val="7"/>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7"/>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7"/>
        <w:spacing w:before="75" w:beforeAutospacing="0" w:after="75" w:afterAutospacing="0" w:line="576" w:lineRule="exact"/>
        <w:ind w:firstLine="480" w:firstLineChars="200"/>
        <w:rPr>
          <w:rFonts w:hint="eastAsia" w:cs="Times New Roman"/>
          <w:bCs/>
          <w:color w:val="000000"/>
          <w:kern w:val="2"/>
        </w:rPr>
      </w:pPr>
    </w:p>
    <w:p w14:paraId="5FEAB6AC">
      <w:pPr>
        <w:pStyle w:val="7"/>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7"/>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7"/>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7"/>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2.如该表内填报产品有未出具产品原产地为少数民族自治区或享受少数民族自治待遇的省份的证明文件的，则投标人不能享受政策功能优惠。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9"/>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6"/>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B3E224-30A9-47F4-8D88-8DC5EAF62748}"/>
  </w:font>
  <w:font w:name="Courier New">
    <w:panose1 w:val="02070309020205020404"/>
    <w:charset w:val="01"/>
    <w:family w:val="modern"/>
    <w:pitch w:val="default"/>
    <w:sig w:usb0="E0002AFF" w:usb1="C0007843" w:usb2="00000009" w:usb3="00000000" w:csb0="400001FF" w:csb1="FFFF0000"/>
    <w:embedRegular r:id="rId2" w:fontKey="{AC4DFF7B-6B59-4CB1-984C-C5E902820D1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44757DD-6BB0-4893-83B1-0384808674FA}"/>
  </w:font>
  <w:font w:name="方正公文小标宋">
    <w:panose1 w:val="02000500000000000000"/>
    <w:charset w:val="86"/>
    <w:family w:val="auto"/>
    <w:pitch w:val="default"/>
    <w:sig w:usb0="A00002BF" w:usb1="38CF7CFA" w:usb2="00000016" w:usb3="00000000" w:csb0="00040001" w:csb1="00000000"/>
    <w:embedRegular r:id="rId4" w:fontKey="{E9D3E4BE-B94D-41AA-B7DD-7CC084C1224E}"/>
  </w:font>
  <w:font w:name="仿宋_GB2312">
    <w:panose1 w:val="02010609030101010101"/>
    <w:charset w:val="86"/>
    <w:family w:val="modern"/>
    <w:pitch w:val="default"/>
    <w:sig w:usb0="00000001" w:usb1="080E0000" w:usb2="00000000" w:usb3="00000000" w:csb0="00040000" w:csb1="00000000"/>
    <w:embedRegular r:id="rId5" w:fontKey="{43001A04-2C92-4E98-8D38-114EC5E7D787}"/>
  </w:font>
  <w:font w:name="方正仿宋_GB2312">
    <w:panose1 w:val="02000000000000000000"/>
    <w:charset w:val="86"/>
    <w:family w:val="auto"/>
    <w:pitch w:val="default"/>
    <w:sig w:usb0="A00002BF" w:usb1="184F6CFA" w:usb2="00000012" w:usb3="00000000" w:csb0="00040001" w:csb1="00000000"/>
    <w:embedRegular r:id="rId6" w:fontKey="{E13A0B2D-DD0E-48DE-AB90-031F96B5C671}"/>
  </w:font>
  <w:font w:name="仿宋">
    <w:panose1 w:val="02010609060101010101"/>
    <w:charset w:val="86"/>
    <w:family w:val="modern"/>
    <w:pitch w:val="default"/>
    <w:sig w:usb0="800002BF" w:usb1="38CF7CFA" w:usb2="00000016" w:usb3="00000000" w:csb0="00040001" w:csb1="00000000"/>
    <w:embedRegular r:id="rId7" w:fontKey="{56485F30-1BF0-4E66-AB69-B14386606B4B}"/>
  </w:font>
  <w:font w:name="仿宋GB2312">
    <w:altName w:val="仿宋"/>
    <w:panose1 w:val="00000000000000000000"/>
    <w:charset w:val="00"/>
    <w:family w:val="auto"/>
    <w:pitch w:val="default"/>
    <w:sig w:usb0="00000000" w:usb1="00000000" w:usb2="00000000" w:usb3="00000000" w:csb0="00040001" w:csb1="00000000"/>
    <w:embedRegular r:id="rId8" w:fontKey="{2FF56E4E-951C-486C-A740-27567EEA997B}"/>
  </w:font>
  <w:font w:name="方正小标宋简体">
    <w:panose1 w:val="03000509000000000000"/>
    <w:charset w:val="86"/>
    <w:family w:val="auto"/>
    <w:pitch w:val="default"/>
    <w:sig w:usb0="00000001" w:usb1="080E0000" w:usb2="00000000" w:usb3="00000000" w:csb0="00040000" w:csb1="00000000"/>
    <w:embedRegular r:id="rId9" w:fontKey="{3BA0D438-88FD-48E8-9F85-25D648DA8826}"/>
  </w:font>
  <w:font w:name="楷体">
    <w:panose1 w:val="02010609060101010101"/>
    <w:charset w:val="86"/>
    <w:family w:val="modern"/>
    <w:pitch w:val="default"/>
    <w:sig w:usb0="800002BF" w:usb1="38CF7CFA" w:usb2="00000016" w:usb3="00000000" w:csb0="00040001" w:csb1="00000000"/>
    <w:embedRegular r:id="rId10" w:fontKey="{F0D18936-8582-4353-BA59-9B4078D7DA9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8CC3B493"/>
    <w:multiLevelType w:val="singleLevel"/>
    <w:tmpl w:val="8CC3B493"/>
    <w:lvl w:ilvl="0" w:tentative="0">
      <w:start w:val="1"/>
      <w:numFmt w:val="decimal"/>
      <w:lvlText w:val="%1."/>
      <w:lvlJc w:val="left"/>
      <w:pPr>
        <w:tabs>
          <w:tab w:val="left" w:pos="312"/>
        </w:tabs>
      </w:pPr>
    </w:lvl>
  </w:abstractNum>
  <w:abstractNum w:abstractNumId="2">
    <w:nsid w:val="A1EE5C77"/>
    <w:multiLevelType w:val="singleLevel"/>
    <w:tmpl w:val="A1EE5C77"/>
    <w:lvl w:ilvl="0" w:tentative="0">
      <w:start w:val="1"/>
      <w:numFmt w:val="chineseCounting"/>
      <w:suff w:val="nothing"/>
      <w:lvlText w:val="%1、"/>
      <w:lvlJc w:val="left"/>
      <w:rPr>
        <w:rFonts w:hint="eastAsia"/>
      </w:rPr>
    </w:lvl>
  </w:abstractNum>
  <w:abstractNum w:abstractNumId="3">
    <w:nsid w:val="DE52F360"/>
    <w:multiLevelType w:val="singleLevel"/>
    <w:tmpl w:val="DE52F360"/>
    <w:lvl w:ilvl="0" w:tentative="0">
      <w:start w:val="1"/>
      <w:numFmt w:val="decimal"/>
      <w:lvlText w:val="%1."/>
      <w:lvlJc w:val="left"/>
      <w:pPr>
        <w:tabs>
          <w:tab w:val="left" w:pos="312"/>
        </w:tabs>
      </w:pPr>
    </w:lvl>
  </w:abstractNum>
  <w:abstractNum w:abstractNumId="4">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2EC5976"/>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4475B4"/>
    <w:rsid w:val="1F5921CE"/>
    <w:rsid w:val="21ED5502"/>
    <w:rsid w:val="21F56D0A"/>
    <w:rsid w:val="22572B0B"/>
    <w:rsid w:val="22890C87"/>
    <w:rsid w:val="233B7FE4"/>
    <w:rsid w:val="236B3CFD"/>
    <w:rsid w:val="238741C2"/>
    <w:rsid w:val="23970E14"/>
    <w:rsid w:val="26566EE0"/>
    <w:rsid w:val="285C70CD"/>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043515"/>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D119AE"/>
    <w:rsid w:val="56EC1DD7"/>
    <w:rsid w:val="572C382B"/>
    <w:rsid w:val="57584816"/>
    <w:rsid w:val="580F778E"/>
    <w:rsid w:val="58CF1D89"/>
    <w:rsid w:val="59861515"/>
    <w:rsid w:val="59D77CC6"/>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85C7D82"/>
    <w:rsid w:val="6970357A"/>
    <w:rsid w:val="69C97A5C"/>
    <w:rsid w:val="6A8D2838"/>
    <w:rsid w:val="6A91268F"/>
    <w:rsid w:val="6ACF09D7"/>
    <w:rsid w:val="6AFB3D06"/>
    <w:rsid w:val="6B1B5369"/>
    <w:rsid w:val="6B436F45"/>
    <w:rsid w:val="6C557E5A"/>
    <w:rsid w:val="6E6E140F"/>
    <w:rsid w:val="6E792709"/>
    <w:rsid w:val="6EE05EFB"/>
    <w:rsid w:val="6EF755B4"/>
    <w:rsid w:val="6F720090"/>
    <w:rsid w:val="6FE674FA"/>
    <w:rsid w:val="71690C79"/>
    <w:rsid w:val="71D12CBC"/>
    <w:rsid w:val="721D683D"/>
    <w:rsid w:val="72DF1A6D"/>
    <w:rsid w:val="73480F92"/>
    <w:rsid w:val="745B39A7"/>
    <w:rsid w:val="753B7BE4"/>
    <w:rsid w:val="76633753"/>
    <w:rsid w:val="77037F25"/>
    <w:rsid w:val="77EF1334"/>
    <w:rsid w:val="78621AF4"/>
    <w:rsid w:val="78DA77C6"/>
    <w:rsid w:val="79D974F4"/>
    <w:rsid w:val="79F67186"/>
    <w:rsid w:val="7A3C062F"/>
    <w:rsid w:val="7B294ABD"/>
    <w:rsid w:val="7B5D1505"/>
    <w:rsid w:val="7B8E319C"/>
    <w:rsid w:val="7CE401F1"/>
    <w:rsid w:val="7D504898"/>
    <w:rsid w:val="7D523F67"/>
    <w:rsid w:val="7DCB545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next w:val="4"/>
    <w:semiHidden/>
    <w:unhideWhenUsed/>
    <w:qFormat/>
    <w:uiPriority w:val="99"/>
    <w:pPr>
      <w:spacing w:after="120"/>
    </w:pPr>
  </w:style>
  <w:style w:type="paragraph" w:styleId="4">
    <w:name w:val="Body Text 2"/>
    <w:basedOn w:val="1"/>
    <w:qFormat/>
    <w:uiPriority w:val="0"/>
    <w:pPr>
      <w:autoSpaceDE w:val="0"/>
      <w:autoSpaceDN w:val="0"/>
      <w:adjustRightInd w:val="0"/>
      <w:textAlignment w:val="baseline"/>
    </w:pPr>
    <w:rPr>
      <w:rFonts w:hAnsi="Times New Roman"/>
      <w:kern w:val="0"/>
      <w:sz w:val="28"/>
      <w:szCs w:val="20"/>
    </w:rPr>
  </w:style>
  <w:style w:type="paragraph" w:styleId="5">
    <w:name w:val="Plain Text"/>
    <w:basedOn w:val="1"/>
    <w:qFormat/>
    <w:uiPriority w:val="0"/>
    <w:rPr>
      <w:rFonts w:hAnsi="Courier New"/>
      <w:szCs w:val="20"/>
    </w:rPr>
  </w:style>
  <w:style w:type="paragraph" w:styleId="6">
    <w:name w:val="toc 1"/>
    <w:basedOn w:val="1"/>
    <w:next w:val="1"/>
    <w:qFormat/>
    <w:uiPriority w:val="0"/>
    <w:rPr>
      <w:rFonts w:ascii="Times New Roman" w:hAnsi="Times New Roman"/>
      <w:szCs w:val="24"/>
    </w:rPr>
  </w:style>
  <w:style w:type="paragraph" w:styleId="7">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8">
    <w:name w:val="Body Text First Indent"/>
    <w:basedOn w:val="3"/>
    <w:qFormat/>
    <w:uiPriority w:val="99"/>
    <w:pPr>
      <w:ind w:firstLine="420" w:firstLineChars="100"/>
    </w:pPr>
    <w:rPr>
      <w:rFonts w:ascii="Times New Roman" w:hAnsi="Times New Roman"/>
      <w:szCs w:val="24"/>
      <w:lang w:val="en-US" w:eastAsia="zh-CN"/>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4777</Words>
  <Characters>4992</Characters>
  <Lines>0</Lines>
  <Paragraphs>0</Paragraphs>
  <TotalTime>56</TotalTime>
  <ScaleCrop>false</ScaleCrop>
  <LinksUpToDate>false</LinksUpToDate>
  <CharactersWithSpaces>5808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2025-09-18T03:50:00Z</cp:lastPrinted>
  <dcterms:modified xsi:type="dcterms:W3CDTF">2026-03-20T08:18:10Z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20EBA7D39A3D49CFA69114FAF30937E9_13</vt:lpwstr>
  </property>
  <property fmtid="{D5CDD505-2E9C-101B-9397-08002B2CF9AE}" pid="4" name="KSOTemplateDocerSaveRecord">
    <vt:lpwstr>eyJoZGlkIjoiZDJhNDQyODc4MTEzYTJiYmQ0OWU4NzRmOWJhOGY1ZjEiLCJ1c2VySWQiOiIxNDU5MDA4NDU0In0=</vt:lpwstr>
  </property>
</Properties>
</file>