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根据医院发展需要，为满足科室诊疗需求，结合医院实际情况，现决定以院内比选方式采购一批医疗设备，欢迎符合资质的公司参加比选，现将比选有关事项公告如下：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普定县中医医院血液透析机采购项目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ZY20260009</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三、项目内容及预算：</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2ADD84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五、公示时间及报名地点：</w:t>
      </w:r>
      <w:r>
        <w:rPr>
          <w:rFonts w:hint="eastAsia" w:ascii="仿宋" w:hAnsi="仿宋" w:eastAsia="仿宋" w:cs="仿宋"/>
          <w:sz w:val="32"/>
          <w:szCs w:val="32"/>
          <w:lang w:val="en-US" w:eastAsia="zh-CN"/>
        </w:rPr>
        <w:t>2026年3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比选时间：</w:t>
      </w:r>
      <w:r>
        <w:rPr>
          <w:rFonts w:hint="eastAsia" w:ascii="仿宋" w:hAnsi="仿宋" w:eastAsia="仿宋" w:cs="仿宋"/>
          <w:sz w:val="32"/>
          <w:szCs w:val="32"/>
          <w:lang w:val="en-US" w:eastAsia="zh-CN"/>
        </w:rPr>
        <w:t>拟2026年3月31日下午14:30，如有变动，另行通知。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2026年3月24日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20F83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0E689DD4">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1A08B3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整体报价表（含付款方式）、</w:t>
      </w:r>
      <w:r>
        <w:rPr>
          <w:rFonts w:hint="eastAsia" w:ascii="仿宋_GB2312" w:hAnsi="仿宋_GB2312" w:eastAsia="仿宋_GB2312" w:cs="仿宋_GB2312"/>
          <w:color w:val="auto"/>
          <w:sz w:val="32"/>
          <w:szCs w:val="32"/>
          <w:highlight w:val="none"/>
          <w:lang w:val="en-US" w:eastAsia="zh-CN"/>
        </w:rPr>
        <w:t>后期增配</w:t>
      </w:r>
      <w:r>
        <w:rPr>
          <w:rFonts w:hint="eastAsia" w:ascii="方正仿宋_GB2312" w:hAnsi="方正仿宋_GB2312" w:eastAsia="方正仿宋_GB2312" w:cs="方正仿宋_GB2312"/>
          <w:color w:val="auto"/>
          <w:kern w:val="2"/>
          <w:sz w:val="32"/>
          <w:szCs w:val="32"/>
          <w:lang w:val="en-US" w:eastAsia="zh-CN" w:bidi="ar-SA"/>
        </w:rPr>
        <w:t>在线血压计组件、在线清除率监测组件及在线血容计组件的单独报价、 原厂透析液过滤器报价</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参选产品资质证明材料</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技术参数偏离表</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93236E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w:t>
      </w:r>
      <w:r>
        <w:rPr>
          <w:rFonts w:hint="eastAsia" w:ascii="仿宋" w:hAnsi="仿宋" w:eastAsia="仿宋" w:cs="仿宋"/>
          <w:sz w:val="32"/>
          <w:szCs w:val="32"/>
          <w:lang w:eastAsia="zh-CN"/>
        </w:rPr>
        <w:t>报价</w:t>
      </w:r>
      <w:r>
        <w:rPr>
          <w:rFonts w:hint="eastAsia" w:ascii="仿宋" w:hAnsi="仿宋" w:eastAsia="仿宋" w:cs="仿宋"/>
          <w:sz w:val="32"/>
          <w:szCs w:val="32"/>
        </w:rPr>
        <w:t>应为包括税费、运费等所有费用在内的实际成交价格。</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比选，参选产品</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及</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784DA010">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CC3570C">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C28BA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9280"/>
        <w:gridCol w:w="173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gridSpan w:val="2"/>
            <w:noWrap w:val="0"/>
            <w:vAlign w:val="center"/>
          </w:tcPr>
          <w:p w14:paraId="78A38A3F">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5240BA37">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restart"/>
            <w:noWrap w:val="0"/>
            <w:vAlign w:val="center"/>
          </w:tcPr>
          <w:p w14:paraId="7FE053C2">
            <w:pPr>
              <w:pStyle w:val="3"/>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pStyle w:val="3"/>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63358F98">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19BFD94A">
            <w:pPr>
              <w:spacing w:line="300" w:lineRule="exact"/>
              <w:rPr>
                <w:iCs/>
                <w:color w:val="auto"/>
              </w:rPr>
            </w:pPr>
            <w:r>
              <w:rPr>
                <w:rFonts w:hint="eastAsia"/>
                <w:b/>
                <w:color w:val="auto"/>
              </w:rPr>
              <w:t>注：监狱企业、残疾人福利性单位视同小型、微型企业，不重复享受政策。</w:t>
            </w:r>
          </w:p>
        </w:tc>
        <w:tc>
          <w:tcPr>
            <w:tcW w:w="997" w:type="dxa"/>
            <w:noWrap w:val="0"/>
            <w:vAlign w:val="center"/>
          </w:tcPr>
          <w:p w14:paraId="1BF44AE1">
            <w:pPr>
              <w:spacing w:line="300" w:lineRule="exact"/>
              <w:rPr>
                <w:rFonts w:hint="eastAsia"/>
                <w:b/>
                <w:color w:val="auto"/>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continue"/>
            <w:noWrap w:val="0"/>
            <w:vAlign w:val="center"/>
          </w:tcPr>
          <w:p w14:paraId="3F4D358D">
            <w:pPr>
              <w:pStyle w:val="3"/>
              <w:spacing w:line="300" w:lineRule="exact"/>
              <w:ind w:firstLine="207" w:firstLineChars="98"/>
              <w:rPr>
                <w:b/>
                <w:bCs/>
                <w:color w:val="auto"/>
                <w:lang w:val="en-US" w:eastAsia="zh-CN"/>
              </w:rPr>
            </w:pPr>
          </w:p>
        </w:tc>
        <w:tc>
          <w:tcPr>
            <w:tcW w:w="1511" w:type="dxa"/>
            <w:vMerge w:val="continue"/>
            <w:noWrap w:val="0"/>
            <w:vAlign w:val="center"/>
          </w:tcPr>
          <w:p w14:paraId="589530A8">
            <w:pPr>
              <w:pStyle w:val="3"/>
              <w:spacing w:line="300" w:lineRule="exact"/>
              <w:jc w:val="center"/>
              <w:rPr>
                <w:rFonts w:hint="eastAsia"/>
                <w:b/>
                <w:bCs/>
                <w:color w:val="auto"/>
                <w:lang w:val="en-US" w:eastAsia="zh-CN"/>
              </w:rPr>
            </w:pPr>
          </w:p>
        </w:tc>
        <w:tc>
          <w:tcPr>
            <w:tcW w:w="750" w:type="dxa"/>
            <w:noWrap w:val="0"/>
            <w:vAlign w:val="center"/>
          </w:tcPr>
          <w:p w14:paraId="3E08ACD3">
            <w:pPr>
              <w:spacing w:line="300" w:lineRule="exact"/>
              <w:jc w:val="center"/>
              <w:rPr>
                <w:rFonts w:hint="default"/>
                <w:color w:val="auto"/>
                <w:lang w:val="en-US" w:eastAsia="zh-CN"/>
              </w:rPr>
            </w:pPr>
            <w:r>
              <w:rPr>
                <w:rFonts w:hint="eastAsia"/>
                <w:color w:val="auto"/>
                <w:lang w:val="en-US" w:eastAsia="zh-CN"/>
              </w:rPr>
              <w:t>20分</w:t>
            </w:r>
          </w:p>
        </w:tc>
        <w:tc>
          <w:tcPr>
            <w:tcW w:w="11015" w:type="dxa"/>
            <w:gridSpan w:val="2"/>
            <w:noWrap w:val="0"/>
            <w:vAlign w:val="center"/>
          </w:tcPr>
          <w:p w14:paraId="379FB367">
            <w:pPr>
              <w:spacing w:line="300" w:lineRule="exact"/>
              <w:rPr>
                <w:rFonts w:hint="eastAsia"/>
                <w:color w:val="auto"/>
                <w:lang w:val="en-US" w:eastAsia="zh-CN"/>
              </w:rPr>
            </w:pPr>
            <w:r>
              <w:rPr>
                <w:rFonts w:hint="eastAsia"/>
                <w:color w:val="auto"/>
                <w:lang w:val="en-US" w:eastAsia="zh-CN"/>
              </w:rPr>
              <w:t>接受验收合格后总货款平均分12个月支付得8分，每增加一个月加1分，以此类推计算总分（最高不超过20分）。</w:t>
            </w:r>
          </w:p>
          <w:p w14:paraId="410E4ECE">
            <w:pPr>
              <w:spacing w:line="300" w:lineRule="exact"/>
              <w:rPr>
                <w:rFonts w:hint="default" w:eastAsiaTheme="minorEastAsia"/>
                <w:b/>
                <w:color w:val="auto"/>
                <w:lang w:val="en-US" w:eastAsia="zh-CN"/>
              </w:rPr>
            </w:pPr>
            <w:r>
              <w:rPr>
                <w:rFonts w:hint="eastAsia"/>
                <w:color w:val="auto"/>
                <w:lang w:val="en-US" w:eastAsia="zh-CN"/>
              </w:rPr>
              <w:t>付款周期低于12个月支付不得分</w:t>
            </w:r>
            <w:r>
              <w:rPr>
                <w:rFonts w:hint="eastAsia"/>
                <w:b/>
                <w:color w:val="auto"/>
              </w:rPr>
              <w:t>。</w:t>
            </w:r>
          </w:p>
        </w:tc>
        <w:tc>
          <w:tcPr>
            <w:tcW w:w="997" w:type="dxa"/>
            <w:noWrap w:val="0"/>
            <w:vAlign w:val="center"/>
          </w:tcPr>
          <w:p w14:paraId="077BEBEF">
            <w:pPr>
              <w:spacing w:line="300" w:lineRule="exact"/>
              <w:jc w:val="center"/>
              <w:rPr>
                <w:rFonts w:hint="default" w:eastAsiaTheme="minorEastAsia"/>
                <w:b/>
                <w:color w:val="auto"/>
                <w:lang w:val="en-US" w:eastAsia="zh-CN"/>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8" w:type="dxa"/>
            <w:noWrap w:val="0"/>
            <w:vAlign w:val="center"/>
          </w:tcPr>
          <w:p w14:paraId="59D9B4AB">
            <w:pPr>
              <w:pStyle w:val="3"/>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263DBC2E">
            <w:pPr>
              <w:pStyle w:val="3"/>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7FF70A4">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30DD8165">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50E69F1E">
            <w:pPr>
              <w:spacing w:line="300" w:lineRule="exact"/>
              <w:rPr>
                <w:color w:val="auto"/>
              </w:rPr>
            </w:pPr>
            <w:r>
              <w:rPr>
                <w:color w:val="auto"/>
              </w:rPr>
              <w:t>2.</w:t>
            </w:r>
            <w:r>
              <w:rPr>
                <w:rFonts w:hint="eastAsia"/>
                <w:color w:val="auto"/>
              </w:rPr>
              <w:t>技术要求内“</w:t>
            </w:r>
            <w:r>
              <w:rPr>
                <w:rFonts w:hint="eastAsia" w:ascii="仿宋_GB2312" w:hAnsi="仿宋_GB2312" w:eastAsia="仿宋_GB2312" w:cs="仿宋_GB2312"/>
                <w:color w:val="auto"/>
                <w:sz w:val="32"/>
                <w:szCs w:val="32"/>
              </w:rPr>
              <w:t>★</w:t>
            </w:r>
            <w:r>
              <w:rPr>
                <w:rFonts w:hint="eastAsia"/>
                <w:color w:val="auto"/>
              </w:rPr>
              <w:t>”号项为关键指标，负偏离的每项减</w:t>
            </w:r>
            <w:r>
              <w:rPr>
                <w:rFonts w:hint="eastAsia"/>
                <w:color w:val="auto"/>
                <w:lang w:val="en-US" w:eastAsia="zh-CN"/>
              </w:rPr>
              <w:t>3</w:t>
            </w:r>
            <w:r>
              <w:rPr>
                <w:rFonts w:hint="eastAsia"/>
                <w:color w:val="auto"/>
              </w:rPr>
              <w:t>分，扣完为止。</w:t>
            </w:r>
          </w:p>
          <w:p w14:paraId="40B43F81">
            <w:pPr>
              <w:spacing w:line="300" w:lineRule="exact"/>
              <w:rPr>
                <w:rFonts w:hint="default" w:cs="宋体" w:eastAsiaTheme="minorEastAsia"/>
                <w:color w:val="auto"/>
                <w:lang w:val="en-US" w:eastAsia="zh-CN"/>
              </w:rPr>
            </w:pPr>
            <w:r>
              <w:rPr>
                <w:rFonts w:hint="eastAsia"/>
                <w:color w:val="auto"/>
              </w:rPr>
              <w:t>3</w:t>
            </w:r>
            <w:r>
              <w:rPr>
                <w:color w:val="auto"/>
              </w:rPr>
              <w:t>.</w:t>
            </w:r>
            <w:r>
              <w:rPr>
                <w:rFonts w:hint="eastAsia"/>
                <w:color w:val="auto"/>
              </w:rPr>
              <w:t>非“</w:t>
            </w:r>
            <w:r>
              <w:rPr>
                <w:rFonts w:hint="eastAsia" w:ascii="仿宋_GB2312" w:hAnsi="仿宋_GB2312" w:eastAsia="仿宋_GB2312" w:cs="仿宋_GB2312"/>
                <w:color w:val="auto"/>
                <w:sz w:val="32"/>
                <w:szCs w:val="32"/>
              </w:rPr>
              <w:t>★</w:t>
            </w:r>
            <w:r>
              <w:rPr>
                <w:rFonts w:hint="eastAsia"/>
                <w:color w:val="auto"/>
              </w:rPr>
              <w:t>”一项技术参数负偏离的每每项减</w:t>
            </w:r>
            <w:r>
              <w:rPr>
                <w:rFonts w:hint="eastAsia"/>
                <w:color w:val="auto"/>
                <w:lang w:val="en-US" w:eastAsia="zh-CN"/>
              </w:rPr>
              <w:t>1</w:t>
            </w:r>
            <w:r>
              <w:rPr>
                <w:rFonts w:hint="eastAsia"/>
                <w:color w:val="auto"/>
              </w:rPr>
              <w:t>分，扣完为止。</w:t>
            </w:r>
            <w:r>
              <w:rPr>
                <w:rFonts w:hint="eastAsia"/>
                <w:color w:val="auto"/>
                <w:lang w:val="en-US" w:eastAsia="zh-CN"/>
              </w:rPr>
              <w:t xml:space="preserve">                  </w:t>
            </w:r>
            <w:bookmarkStart w:id="2" w:name="_GoBack"/>
            <w:bookmarkEnd w:id="2"/>
            <w:r>
              <w:rPr>
                <w:rFonts w:hint="eastAsia"/>
                <w:color w:val="auto"/>
                <w:lang w:val="en-US" w:eastAsia="zh-CN"/>
              </w:rPr>
              <w:t xml:space="preserve">                                                                                                                                                                                                                                   </w:t>
            </w:r>
          </w:p>
          <w:p w14:paraId="01F9D100">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6AD86F32">
            <w:pPr>
              <w:spacing w:line="300" w:lineRule="exact"/>
              <w:jc w:val="center"/>
              <w:rPr>
                <w:rFonts w:hint="eastAsia" w:cs="宋体"/>
                <w:b/>
                <w:color w:val="auto"/>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738" w:type="dxa"/>
            <w:noWrap w:val="0"/>
            <w:vAlign w:val="center"/>
          </w:tcPr>
          <w:p w14:paraId="07F0C3AF">
            <w:pPr>
              <w:pStyle w:val="3"/>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79266B7B">
            <w:pPr>
              <w:pStyle w:val="3"/>
              <w:spacing w:line="300" w:lineRule="exact"/>
              <w:jc w:val="center"/>
              <w:rPr>
                <w:rFonts w:cs="宋体"/>
                <w:b/>
                <w:bCs/>
                <w:color w:val="auto"/>
                <w:lang w:val="en-US" w:eastAsia="zh-CN"/>
              </w:rPr>
            </w:pPr>
            <w:r>
              <w:rPr>
                <w:rFonts w:hint="eastAsia" w:cs="宋体"/>
                <w:b/>
                <w:bCs/>
                <w:color w:val="auto"/>
                <w:lang w:val="en-US" w:eastAsia="zh-CN"/>
              </w:rPr>
              <w:t>售后承诺</w:t>
            </w:r>
          </w:p>
        </w:tc>
        <w:tc>
          <w:tcPr>
            <w:tcW w:w="750" w:type="dxa"/>
            <w:noWrap w:val="0"/>
            <w:vAlign w:val="center"/>
          </w:tcPr>
          <w:p w14:paraId="161BAFED">
            <w:pPr>
              <w:spacing w:line="300" w:lineRule="exact"/>
              <w:jc w:val="center"/>
              <w:rPr>
                <w:rFonts w:cs="宋体"/>
                <w:color w:val="auto"/>
              </w:rPr>
            </w:pPr>
            <w:r>
              <w:rPr>
                <w:rFonts w:hint="eastAsia" w:cs="宋体"/>
                <w:color w:val="auto"/>
                <w:lang w:val="en-US" w:eastAsia="zh-CN"/>
              </w:rPr>
              <w:t>8</w:t>
            </w:r>
            <w:r>
              <w:rPr>
                <w:rFonts w:hint="eastAsia" w:cs="宋体"/>
                <w:color w:val="auto"/>
              </w:rPr>
              <w:t>分</w:t>
            </w:r>
          </w:p>
        </w:tc>
        <w:tc>
          <w:tcPr>
            <w:tcW w:w="11015" w:type="dxa"/>
            <w:gridSpan w:val="2"/>
            <w:noWrap w:val="0"/>
            <w:vAlign w:val="center"/>
          </w:tcPr>
          <w:p w14:paraId="452E8B27">
            <w:pPr>
              <w:spacing w:line="300" w:lineRule="exact"/>
              <w:rPr>
                <w:rFonts w:cs="宋体"/>
                <w:color w:val="auto"/>
              </w:rPr>
            </w:pPr>
            <w:r>
              <w:rPr>
                <w:rFonts w:hint="eastAsia"/>
                <w:color w:val="auto"/>
              </w:rPr>
              <w:t>承诺</w:t>
            </w:r>
            <w:r>
              <w:rPr>
                <w:rFonts w:hint="eastAsia"/>
                <w:color w:val="auto"/>
                <w:lang w:val="en-US" w:eastAsia="zh-CN"/>
              </w:rPr>
              <w:t>2</w:t>
            </w:r>
            <w:r>
              <w:rPr>
                <w:rFonts w:hint="eastAsia"/>
                <w:color w:val="auto"/>
              </w:rPr>
              <w:t>年免费质保期为基本的资格条件，在此基础上每增加一年得</w:t>
            </w:r>
            <w:r>
              <w:rPr>
                <w:rFonts w:hint="eastAsia"/>
                <w:color w:val="auto"/>
                <w:lang w:val="en-US" w:eastAsia="zh-CN"/>
              </w:rPr>
              <w:t>2</w:t>
            </w:r>
            <w:r>
              <w:rPr>
                <w:rFonts w:hint="eastAsia"/>
                <w:color w:val="auto"/>
              </w:rPr>
              <w:t>分，不增加不得分。</w:t>
            </w:r>
          </w:p>
        </w:tc>
        <w:tc>
          <w:tcPr>
            <w:tcW w:w="997" w:type="dxa"/>
            <w:noWrap w:val="0"/>
            <w:vAlign w:val="center"/>
          </w:tcPr>
          <w:p w14:paraId="3DAAC597">
            <w:pPr>
              <w:spacing w:line="300" w:lineRule="exact"/>
              <w:jc w:val="center"/>
              <w:rPr>
                <w:rFonts w:hint="eastAsia" w:cs="宋体"/>
                <w:color w:val="auto"/>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trPr>
        <w:tc>
          <w:tcPr>
            <w:tcW w:w="738" w:type="dxa"/>
            <w:noWrap w:val="0"/>
            <w:vAlign w:val="center"/>
          </w:tcPr>
          <w:p w14:paraId="32182D57">
            <w:pPr>
              <w:pStyle w:val="3"/>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6BB93241">
            <w:pPr>
              <w:pStyle w:val="3"/>
              <w:spacing w:line="300" w:lineRule="exact"/>
              <w:jc w:val="center"/>
              <w:rPr>
                <w:rFonts w:hint="eastAsia" w:cs="宋体"/>
                <w:b/>
                <w:bCs/>
                <w:color w:val="auto"/>
                <w:lang w:val="en-US" w:eastAsia="zh-CN"/>
              </w:rPr>
            </w:pPr>
            <w:r>
              <w:rPr>
                <w:rFonts w:hint="eastAsia" w:cs="宋体"/>
                <w:b/>
                <w:bCs/>
                <w:color w:val="auto"/>
                <w:lang w:val="en-US" w:eastAsia="zh-CN"/>
              </w:rPr>
              <w:t>维修响应</w:t>
            </w:r>
          </w:p>
          <w:p w14:paraId="3B117121">
            <w:pPr>
              <w:pStyle w:val="3"/>
              <w:spacing w:line="300" w:lineRule="exact"/>
              <w:jc w:val="center"/>
              <w:rPr>
                <w:b/>
                <w:bCs/>
                <w:color w:val="auto"/>
                <w:lang w:val="en-US" w:eastAsia="zh-CN"/>
              </w:rPr>
            </w:pPr>
            <w:r>
              <w:rPr>
                <w:rFonts w:hint="eastAsia" w:cs="宋体"/>
                <w:b/>
                <w:bCs/>
                <w:color w:val="auto"/>
                <w:lang w:val="en-US" w:eastAsia="zh-CN"/>
              </w:rPr>
              <w:t>时间评价</w:t>
            </w:r>
          </w:p>
        </w:tc>
        <w:tc>
          <w:tcPr>
            <w:tcW w:w="750" w:type="dxa"/>
            <w:noWrap w:val="0"/>
            <w:vAlign w:val="center"/>
          </w:tcPr>
          <w:p w14:paraId="10E13816">
            <w:pPr>
              <w:spacing w:line="300" w:lineRule="exact"/>
              <w:jc w:val="center"/>
              <w:rPr>
                <w:rFonts w:hint="eastAsia" w:eastAsiaTheme="minorEastAsia"/>
                <w:color w:val="auto"/>
                <w:lang w:val="en-US" w:eastAsia="zh-CN"/>
              </w:rPr>
            </w:pPr>
            <w:r>
              <w:rPr>
                <w:rFonts w:hint="eastAsia"/>
                <w:color w:val="auto"/>
                <w:lang w:val="en-US" w:eastAsia="zh-CN"/>
              </w:rPr>
              <w:t>4分</w:t>
            </w:r>
          </w:p>
        </w:tc>
        <w:tc>
          <w:tcPr>
            <w:tcW w:w="11015" w:type="dxa"/>
            <w:gridSpan w:val="2"/>
            <w:noWrap w:val="0"/>
            <w:vAlign w:val="center"/>
          </w:tcPr>
          <w:p w14:paraId="2A928AC5">
            <w:pPr>
              <w:spacing w:line="300" w:lineRule="exact"/>
              <w:jc w:val="left"/>
              <w:rPr>
                <w:rFonts w:ascii="宋体" w:hAnsi="宋体" w:eastAsia="宋体"/>
                <w:color w:val="auto"/>
                <w:szCs w:val="21"/>
              </w:rPr>
            </w:pPr>
            <w:r>
              <w:rPr>
                <w:rFonts w:hint="eastAsia" w:ascii="宋体" w:hAnsi="宋体" w:eastAsia="宋体"/>
                <w:color w:val="auto"/>
                <w:szCs w:val="21"/>
                <w:lang w:eastAsia="zh-CN"/>
              </w:rPr>
              <w:t>承诺有专业厂家工程师负责维修事宜（提供姓名及联系电话），承诺维修期间有备用设备使用。</w:t>
            </w:r>
            <w:r>
              <w:rPr>
                <w:rFonts w:hint="eastAsia" w:ascii="宋体" w:hAnsi="宋体" w:eastAsia="宋体"/>
                <w:color w:val="auto"/>
                <w:szCs w:val="21"/>
              </w:rPr>
              <w:t>根据</w:t>
            </w:r>
            <w:r>
              <w:rPr>
                <w:rFonts w:hint="eastAsia" w:ascii="宋体" w:hAnsi="宋体" w:eastAsia="宋体"/>
                <w:color w:val="auto"/>
                <w:szCs w:val="21"/>
                <w:lang w:eastAsia="zh-CN"/>
              </w:rPr>
              <w:t>参选人</w:t>
            </w:r>
            <w:r>
              <w:rPr>
                <w:rFonts w:hint="eastAsia" w:ascii="宋体" w:hAnsi="宋体" w:eastAsia="宋体"/>
                <w:color w:val="auto"/>
                <w:szCs w:val="21"/>
              </w:rPr>
              <w:t>对</w:t>
            </w:r>
            <w:r>
              <w:rPr>
                <w:rFonts w:hint="eastAsia" w:ascii="宋体" w:hAnsi="宋体" w:eastAsia="宋体"/>
                <w:color w:val="auto"/>
                <w:szCs w:val="21"/>
                <w:lang w:eastAsia="zh-CN"/>
              </w:rPr>
              <w:t>厂家工程师</w:t>
            </w:r>
            <w:r>
              <w:rPr>
                <w:rFonts w:hint="eastAsia" w:ascii="宋体" w:hAnsi="宋体" w:eastAsia="宋体"/>
                <w:color w:val="auto"/>
                <w:szCs w:val="21"/>
              </w:rPr>
              <w:t>接到维修通知后承诺到达用户现场的时间由短至长的排名进行评价（</w:t>
            </w:r>
            <w:r>
              <w:rPr>
                <w:rFonts w:hint="eastAsia" w:ascii="宋体" w:hAnsi="宋体" w:eastAsia="宋体"/>
                <w:color w:val="auto"/>
                <w:szCs w:val="21"/>
                <w:lang w:eastAsia="zh-CN"/>
              </w:rPr>
              <w:t>参选</w:t>
            </w:r>
            <w:r>
              <w:rPr>
                <w:rFonts w:hint="eastAsia" w:ascii="宋体" w:hAnsi="宋体" w:eastAsia="宋体"/>
                <w:color w:val="auto"/>
                <w:szCs w:val="21"/>
              </w:rPr>
              <w:t>人须结合售后机构距离项目现场的距离承诺到达现场进行维修服务的时间，承诺到达的时间不能超过</w:t>
            </w:r>
            <w:r>
              <w:rPr>
                <w:rFonts w:hint="eastAsia" w:ascii="宋体" w:hAnsi="宋体" w:eastAsia="宋体"/>
                <w:color w:val="auto"/>
                <w:szCs w:val="21"/>
                <w:lang w:val="en-US" w:eastAsia="zh-CN"/>
              </w:rPr>
              <w:t>48</w:t>
            </w:r>
            <w:r>
              <w:rPr>
                <w:rFonts w:hint="eastAsia" w:ascii="宋体" w:hAnsi="宋体" w:eastAsia="宋体"/>
                <w:color w:val="auto"/>
                <w:szCs w:val="21"/>
              </w:rPr>
              <w:t>小时，须在</w:t>
            </w:r>
            <w:r>
              <w:rPr>
                <w:rFonts w:hint="eastAsia" w:ascii="宋体" w:hAnsi="宋体" w:eastAsia="宋体"/>
                <w:color w:val="auto"/>
                <w:szCs w:val="21"/>
                <w:lang w:eastAsia="zh-CN"/>
              </w:rPr>
              <w:t>参选</w:t>
            </w:r>
            <w:r>
              <w:rPr>
                <w:rFonts w:hint="eastAsia" w:ascii="宋体" w:hAnsi="宋体" w:eastAsia="宋体"/>
                <w:color w:val="auto"/>
                <w:szCs w:val="21"/>
              </w:rPr>
              <w:t>文件中附承诺</w:t>
            </w:r>
            <w:r>
              <w:rPr>
                <w:rFonts w:hint="eastAsia" w:ascii="宋体" w:hAnsi="宋体" w:eastAsia="宋体"/>
                <w:color w:val="auto"/>
                <w:szCs w:val="21"/>
                <w:lang w:eastAsia="zh-CN"/>
              </w:rPr>
              <w:t>，无专业厂家工程师承诺不得分</w:t>
            </w:r>
            <w:r>
              <w:rPr>
                <w:rFonts w:hint="eastAsia" w:ascii="宋体" w:hAnsi="宋体" w:eastAsia="宋体"/>
                <w:color w:val="auto"/>
                <w:szCs w:val="21"/>
              </w:rPr>
              <w:t>）。</w:t>
            </w:r>
          </w:p>
          <w:p w14:paraId="66F34E1E">
            <w:pPr>
              <w:spacing w:line="300" w:lineRule="exact"/>
              <w:jc w:val="left"/>
              <w:rPr>
                <w:rFonts w:hint="eastAsia" w:eastAsiaTheme="minorEastAsia"/>
                <w:color w:val="auto"/>
                <w:lang w:eastAsia="zh-CN"/>
              </w:rPr>
            </w:pPr>
            <w:r>
              <w:rPr>
                <w:rFonts w:hint="eastAsia" w:ascii="宋体" w:hAnsi="宋体" w:eastAsia="宋体"/>
                <w:color w:val="auto"/>
                <w:szCs w:val="21"/>
              </w:rPr>
              <w:t>1、第一名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4</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2</w:t>
            </w:r>
            <w:r>
              <w:rPr>
                <w:rFonts w:hint="eastAsia" w:ascii="宋体" w:hAnsi="宋体" w:eastAsia="宋体"/>
                <w:color w:val="auto"/>
                <w:szCs w:val="21"/>
              </w:rPr>
              <w:t xml:space="preserve"> 分；3、第三名或更低</w:t>
            </w:r>
            <w:r>
              <w:rPr>
                <w:rFonts w:hint="eastAsia" w:ascii="宋体" w:hAnsi="宋体" w:eastAsia="宋体"/>
                <w:color w:val="auto"/>
                <w:szCs w:val="21"/>
                <w:lang w:eastAsia="zh-CN"/>
              </w:rPr>
              <w:t>得</w:t>
            </w:r>
            <w:r>
              <w:rPr>
                <w:rFonts w:hint="eastAsia" w:ascii="宋体" w:hAnsi="宋体" w:eastAsia="宋体"/>
                <w:color w:val="auto"/>
                <w:szCs w:val="21"/>
              </w:rPr>
              <w:t>0分。</w:t>
            </w:r>
          </w:p>
        </w:tc>
        <w:tc>
          <w:tcPr>
            <w:tcW w:w="997" w:type="dxa"/>
            <w:noWrap w:val="0"/>
            <w:vAlign w:val="center"/>
          </w:tcPr>
          <w:p w14:paraId="29600913">
            <w:pPr>
              <w:spacing w:line="300" w:lineRule="exact"/>
              <w:jc w:val="center"/>
              <w:rPr>
                <w:rFonts w:hint="eastAsia" w:cs="宋体" w:eastAsiaTheme="minorEastAsia"/>
                <w:bCs/>
                <w:color w:val="auto"/>
                <w:lang w:val="en-US" w:eastAsia="zh-CN"/>
              </w:rPr>
            </w:pPr>
          </w:p>
        </w:tc>
      </w:tr>
      <w:tr w14:paraId="579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738" w:type="dxa"/>
            <w:noWrap w:val="0"/>
            <w:vAlign w:val="center"/>
          </w:tcPr>
          <w:p w14:paraId="63C379EC">
            <w:pPr>
              <w:pStyle w:val="3"/>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64C66E17">
            <w:pPr>
              <w:pStyle w:val="3"/>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05A72AAE">
            <w:pPr>
              <w:spacing w:line="300" w:lineRule="exact"/>
              <w:jc w:val="center"/>
              <w:rPr>
                <w:rFonts w:asciiTheme="minorHAnsi" w:hAnsiTheme="minorHAnsi" w:eastAsiaTheme="minorEastAsia" w:cstheme="minorBidi"/>
                <w:color w:val="auto"/>
                <w:kern w:val="2"/>
                <w:sz w:val="21"/>
                <w:szCs w:val="22"/>
                <w:lang w:val="en-US" w:eastAsia="zh-CN" w:bidi="ar-SA"/>
              </w:rPr>
            </w:pPr>
            <w:r>
              <w:rPr>
                <w:color w:val="auto"/>
              </w:rPr>
              <w:t>3</w:t>
            </w:r>
            <w:r>
              <w:rPr>
                <w:rFonts w:hint="eastAsia"/>
                <w:color w:val="auto"/>
              </w:rPr>
              <w:t>分</w:t>
            </w:r>
          </w:p>
        </w:tc>
        <w:tc>
          <w:tcPr>
            <w:tcW w:w="11015" w:type="dxa"/>
            <w:gridSpan w:val="2"/>
            <w:shd w:val="clear" w:color="auto" w:fill="auto"/>
            <w:noWrap w:val="0"/>
            <w:vAlign w:val="center"/>
          </w:tcPr>
          <w:p w14:paraId="03BCD5B8">
            <w:pPr>
              <w:spacing w:line="300" w:lineRule="exact"/>
              <w:rPr>
                <w:rFonts w:hint="eastAsia"/>
                <w:color w:val="auto"/>
                <w:lang w:val="en-US" w:eastAsia="zh-CN"/>
              </w:rPr>
            </w:pPr>
            <w:r>
              <w:rPr>
                <w:rFonts w:hint="eastAsia"/>
                <w:color w:val="auto"/>
                <w:lang w:eastAsia="zh-CN"/>
              </w:rPr>
              <w:t>根据参选人或所投所有产品制造商提供针对本项目销售业绩份数进行评价。（须提供清晰的采购合同复印件或中标通知书复印件作为证明材料。≥</w:t>
            </w:r>
            <w:r>
              <w:rPr>
                <w:rFonts w:hint="eastAsia"/>
                <w:color w:val="auto"/>
                <w:lang w:val="en-US" w:eastAsia="zh-CN"/>
              </w:rPr>
              <w:t>3</w:t>
            </w:r>
            <w:r>
              <w:rPr>
                <w:rFonts w:hint="eastAsia"/>
                <w:color w:val="auto"/>
                <w:lang w:eastAsia="zh-CN"/>
              </w:rPr>
              <w:t>份得</w:t>
            </w:r>
            <w:r>
              <w:rPr>
                <w:rFonts w:hint="eastAsia"/>
                <w:color w:val="auto"/>
                <w:lang w:val="en-US" w:eastAsia="zh-CN"/>
              </w:rPr>
              <w:t>3分，不提供或提供不全不得分。</w:t>
            </w:r>
          </w:p>
        </w:tc>
        <w:tc>
          <w:tcPr>
            <w:tcW w:w="997" w:type="dxa"/>
            <w:noWrap w:val="0"/>
            <w:vAlign w:val="center"/>
          </w:tcPr>
          <w:p w14:paraId="025F1796">
            <w:pPr>
              <w:spacing w:line="300" w:lineRule="exact"/>
              <w:jc w:val="center"/>
              <w:rPr>
                <w:rFonts w:hint="eastAsia" w:cs="宋体" w:eastAsiaTheme="minorEastAsia"/>
                <w:bCs/>
                <w:color w:val="auto"/>
                <w:lang w:val="en-US" w:eastAsia="zh-CN"/>
              </w:rPr>
            </w:pPr>
          </w:p>
        </w:tc>
      </w:tr>
      <w:tr w14:paraId="53C8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trPr>
        <w:tc>
          <w:tcPr>
            <w:tcW w:w="738" w:type="dxa"/>
            <w:noWrap w:val="0"/>
            <w:vAlign w:val="center"/>
          </w:tcPr>
          <w:p w14:paraId="04211800">
            <w:pPr>
              <w:pStyle w:val="3"/>
              <w:spacing w:line="300" w:lineRule="exact"/>
              <w:ind w:firstLine="207" w:firstLineChars="98"/>
              <w:rPr>
                <w:rFonts w:hint="default"/>
                <w:b/>
                <w:bCs/>
                <w:color w:val="auto"/>
                <w:lang w:val="en-US" w:eastAsia="zh-CN"/>
              </w:rPr>
            </w:pPr>
            <w:r>
              <w:rPr>
                <w:rFonts w:hint="eastAsia"/>
                <w:b/>
                <w:bCs/>
                <w:color w:val="auto"/>
                <w:lang w:val="en-US" w:eastAsia="zh-CN"/>
              </w:rPr>
              <w:t>6</w:t>
            </w:r>
          </w:p>
        </w:tc>
        <w:tc>
          <w:tcPr>
            <w:tcW w:w="1511" w:type="dxa"/>
            <w:noWrap w:val="0"/>
            <w:vAlign w:val="center"/>
          </w:tcPr>
          <w:p w14:paraId="14B91324">
            <w:pPr>
              <w:pStyle w:val="3"/>
              <w:spacing w:line="300" w:lineRule="exact"/>
              <w:jc w:val="center"/>
              <w:rPr>
                <w:rFonts w:hint="eastAsia"/>
                <w:b/>
                <w:bCs/>
                <w:color w:val="auto"/>
                <w:lang w:val="en-US" w:eastAsia="zh-CN"/>
              </w:rPr>
            </w:pPr>
            <w:r>
              <w:rPr>
                <w:rFonts w:hint="eastAsia"/>
                <w:b/>
                <w:bCs/>
                <w:color w:val="auto"/>
                <w:lang w:val="en-US" w:eastAsia="zh-CN"/>
              </w:rPr>
              <w:t>其他</w:t>
            </w:r>
          </w:p>
        </w:tc>
        <w:tc>
          <w:tcPr>
            <w:tcW w:w="750" w:type="dxa"/>
            <w:noWrap w:val="0"/>
            <w:vAlign w:val="center"/>
          </w:tcPr>
          <w:p w14:paraId="2C66CD17">
            <w:pPr>
              <w:spacing w:line="300" w:lineRule="exact"/>
              <w:jc w:val="center"/>
              <w:rPr>
                <w:rFonts w:hint="eastAsia" w:eastAsiaTheme="minorEastAsia"/>
                <w:color w:val="auto"/>
                <w:lang w:val="en-US" w:eastAsia="zh-CN"/>
              </w:rPr>
            </w:pPr>
            <w:r>
              <w:rPr>
                <w:rFonts w:hint="eastAsia"/>
                <w:color w:val="auto"/>
                <w:lang w:val="en-US" w:eastAsia="zh-CN"/>
              </w:rPr>
              <w:t>5</w:t>
            </w:r>
            <w:r>
              <w:rPr>
                <w:rFonts w:hint="eastAsia"/>
                <w:color w:val="auto"/>
              </w:rPr>
              <w:t>分</w:t>
            </w:r>
          </w:p>
        </w:tc>
        <w:tc>
          <w:tcPr>
            <w:tcW w:w="11015" w:type="dxa"/>
            <w:gridSpan w:val="2"/>
            <w:noWrap w:val="0"/>
            <w:vAlign w:val="center"/>
          </w:tcPr>
          <w:p w14:paraId="101C2024">
            <w:pPr>
              <w:numPr>
                <w:ilvl w:val="0"/>
                <w:numId w:val="2"/>
              </w:numPr>
              <w:spacing w:line="300" w:lineRule="exact"/>
              <w:rPr>
                <w:rFonts w:hint="eastAsia"/>
                <w:color w:val="auto"/>
                <w:lang w:val="en-US" w:eastAsia="zh-CN"/>
              </w:rPr>
            </w:pPr>
            <w:r>
              <w:rPr>
                <w:rFonts w:hint="eastAsia"/>
                <w:color w:val="auto"/>
                <w:lang w:val="en-US" w:eastAsia="zh-CN"/>
              </w:rPr>
              <w:t>设备制造商出具承诺证明设备所需要使用的所有一次性耗材为开放耗材，如补液管、血液净化装置的体外循环血路等得3分；</w:t>
            </w:r>
          </w:p>
          <w:p w14:paraId="3290DF45">
            <w:pPr>
              <w:numPr>
                <w:ilvl w:val="0"/>
                <w:numId w:val="0"/>
              </w:numPr>
              <w:spacing w:line="300" w:lineRule="exact"/>
              <w:rPr>
                <w:rFonts w:hint="eastAsia"/>
                <w:color w:val="auto"/>
                <w:lang w:val="en-US" w:eastAsia="zh-CN"/>
              </w:rPr>
            </w:pPr>
            <w:r>
              <w:rPr>
                <w:rFonts w:hint="eastAsia"/>
                <w:color w:val="auto"/>
                <w:lang w:val="en-US" w:eastAsia="zh-CN"/>
              </w:rPr>
              <w:t>2.根据参选人或生产厂商提供血液透析设备使用的原厂透析液过滤器的报价由低到高排名进行评价。</w:t>
            </w:r>
          </w:p>
          <w:p w14:paraId="754A43DC">
            <w:pPr>
              <w:numPr>
                <w:ilvl w:val="0"/>
                <w:numId w:val="0"/>
              </w:numPr>
              <w:spacing w:line="300" w:lineRule="exact"/>
              <w:rPr>
                <w:rFonts w:hint="default"/>
                <w:color w:val="auto"/>
                <w:lang w:val="en-US" w:eastAsia="zh-CN"/>
              </w:rPr>
            </w:pPr>
            <w:r>
              <w:rPr>
                <w:rFonts w:hint="eastAsia" w:ascii="宋体" w:hAnsi="宋体" w:eastAsia="宋体"/>
                <w:color w:val="auto"/>
                <w:szCs w:val="21"/>
              </w:rPr>
              <w:t>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2</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1</w:t>
            </w:r>
            <w:r>
              <w:rPr>
                <w:rFonts w:hint="eastAsia" w:ascii="宋体" w:hAnsi="宋体" w:eastAsia="宋体"/>
                <w:color w:val="auto"/>
                <w:szCs w:val="21"/>
              </w:rPr>
              <w:t>分；3、第三名或更低</w:t>
            </w:r>
            <w:r>
              <w:rPr>
                <w:rFonts w:hint="eastAsia" w:ascii="宋体" w:hAnsi="宋体" w:eastAsia="宋体"/>
                <w:color w:val="auto"/>
                <w:szCs w:val="21"/>
                <w:lang w:eastAsia="zh-CN"/>
              </w:rPr>
              <w:t>得</w:t>
            </w:r>
            <w:r>
              <w:rPr>
                <w:rFonts w:hint="eastAsia" w:ascii="宋体" w:hAnsi="宋体" w:eastAsia="宋体"/>
                <w:color w:val="auto"/>
                <w:szCs w:val="21"/>
              </w:rPr>
              <w:t>0分。</w:t>
            </w:r>
          </w:p>
        </w:tc>
        <w:tc>
          <w:tcPr>
            <w:tcW w:w="997" w:type="dxa"/>
            <w:noWrap w:val="0"/>
            <w:vAlign w:val="center"/>
          </w:tcPr>
          <w:p w14:paraId="0C31CA7C">
            <w:pPr>
              <w:spacing w:line="300" w:lineRule="exact"/>
              <w:jc w:val="center"/>
              <w:rPr>
                <w:rFonts w:hint="eastAsia" w:cs="宋体" w:eastAsiaTheme="minorEastAsia"/>
                <w:bCs/>
                <w:color w:val="auto"/>
                <w:lang w:val="en-US" w:eastAsia="zh-CN"/>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2279" w:type="dxa"/>
            <w:gridSpan w:val="4"/>
            <w:noWrap w:val="0"/>
            <w:vAlign w:val="center"/>
          </w:tcPr>
          <w:p w14:paraId="0A2F2EE8">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1735" w:type="dxa"/>
            <w:noWrap w:val="0"/>
            <w:vAlign w:val="center"/>
          </w:tcPr>
          <w:p w14:paraId="4A73E98B">
            <w:pPr>
              <w:spacing w:line="300" w:lineRule="exact"/>
              <w:jc w:val="center"/>
              <w:rPr>
                <w:rFonts w:hint="eastAsia" w:eastAsiaTheme="minorEastAsia"/>
                <w:b/>
                <w:color w:val="auto"/>
                <w:lang w:eastAsia="zh-CN"/>
              </w:rPr>
            </w:pPr>
            <w:r>
              <w:rPr>
                <w:rFonts w:hint="eastAsia"/>
                <w:b/>
                <w:color w:val="auto"/>
                <w:lang w:eastAsia="zh-CN"/>
              </w:rPr>
              <w:t>最后得分</w:t>
            </w:r>
          </w:p>
        </w:tc>
        <w:tc>
          <w:tcPr>
            <w:tcW w:w="997" w:type="dxa"/>
            <w:noWrap w:val="0"/>
            <w:vAlign w:val="center"/>
          </w:tcPr>
          <w:p w14:paraId="36BCD9A4">
            <w:pPr>
              <w:spacing w:line="300" w:lineRule="exact"/>
              <w:rPr>
                <w:rFonts w:hint="eastAsia"/>
                <w:b/>
                <w:color w:val="auto"/>
              </w:rPr>
            </w:pPr>
          </w:p>
        </w:tc>
      </w:tr>
    </w:tbl>
    <w:p w14:paraId="65BAC14A">
      <w:pPr>
        <w:pStyle w:val="5"/>
        <w:keepNext w:val="0"/>
        <w:keepLines w:val="0"/>
        <w:pageBreakBefore w:val="0"/>
        <w:kinsoku/>
        <w:wordWrap/>
        <w:overflowPunct/>
        <w:topLinePunct w:val="0"/>
        <w:bidi w:val="0"/>
        <w:snapToGrid/>
        <w:spacing w:line="560" w:lineRule="exact"/>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6B84DA-17E1-4094-991E-2749EB0855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16AC2AC-76CB-4B23-9794-9521767FB56F}"/>
  </w:font>
  <w:font w:name="方正公文小标宋">
    <w:panose1 w:val="02000500000000000000"/>
    <w:charset w:val="86"/>
    <w:family w:val="auto"/>
    <w:pitch w:val="default"/>
    <w:sig w:usb0="A00002BF" w:usb1="38CF7CFA" w:usb2="00000016" w:usb3="00000000" w:csb0="00040001" w:csb1="00000000"/>
    <w:embedRegular r:id="rId3" w:fontKey="{B1C8029A-7FBD-42C3-B7C8-AB96BECD1617}"/>
  </w:font>
  <w:font w:name="仿宋_GB2312">
    <w:panose1 w:val="02010609030101010101"/>
    <w:charset w:val="86"/>
    <w:family w:val="modern"/>
    <w:pitch w:val="default"/>
    <w:sig w:usb0="00000001" w:usb1="080E0000" w:usb2="00000000" w:usb3="00000000" w:csb0="00040000" w:csb1="00000000"/>
    <w:embedRegular r:id="rId4" w:fontKey="{BA28D747-5F01-49E4-90AB-AA14B28C136D}"/>
  </w:font>
  <w:font w:name="方正仿宋_GB2312">
    <w:panose1 w:val="02000000000000000000"/>
    <w:charset w:val="86"/>
    <w:family w:val="auto"/>
    <w:pitch w:val="default"/>
    <w:sig w:usb0="A00002BF" w:usb1="184F6CFA" w:usb2="00000012" w:usb3="00000000" w:csb0="00040001" w:csb1="00000000"/>
    <w:embedRegular r:id="rId5" w:fontKey="{7A87F326-D638-4F7E-A53A-31CEEB46FF62}"/>
  </w:font>
  <w:font w:name="仿宋">
    <w:panose1 w:val="02010609060101010101"/>
    <w:charset w:val="86"/>
    <w:family w:val="auto"/>
    <w:pitch w:val="default"/>
    <w:sig w:usb0="800002BF" w:usb1="38CF7CFA" w:usb2="00000016" w:usb3="00000000" w:csb0="00040001" w:csb1="00000000"/>
    <w:embedRegular r:id="rId6" w:fontKey="{F5925BF0-525C-4C43-862E-C1B911F76496}"/>
  </w:font>
  <w:font w:name="仿宋GB2312">
    <w:altName w:val="仿宋"/>
    <w:panose1 w:val="00000000000000000000"/>
    <w:charset w:val="00"/>
    <w:family w:val="auto"/>
    <w:pitch w:val="default"/>
    <w:sig w:usb0="00000000" w:usb1="00000000" w:usb2="00000000" w:usb3="00000000" w:csb0="00040001" w:csb1="00000000"/>
    <w:embedRegular r:id="rId7" w:fontKey="{8F33CDA2-8969-4C03-8E19-2DD17A368B69}"/>
  </w:font>
  <w:font w:name="楷体">
    <w:panose1 w:val="02010609060101010101"/>
    <w:charset w:val="86"/>
    <w:family w:val="modern"/>
    <w:pitch w:val="default"/>
    <w:sig w:usb0="800002BF" w:usb1="38CF7CFA" w:usb2="00000016" w:usb3="00000000" w:csb0="00040001" w:csb1="00000000"/>
    <w:embedRegular r:id="rId8" w:fontKey="{46BCF7FE-4DE8-40D0-92F9-1A08C8F6293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486B245B"/>
    <w:multiLevelType w:val="singleLevel"/>
    <w:tmpl w:val="486B245B"/>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0BC1F52"/>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AE143E9"/>
    <w:rsid w:val="0AF8612C"/>
    <w:rsid w:val="0B495927"/>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D25A63"/>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B43CA6"/>
    <w:rsid w:val="37D12506"/>
    <w:rsid w:val="38123961"/>
    <w:rsid w:val="392361A2"/>
    <w:rsid w:val="3A2847BF"/>
    <w:rsid w:val="3AD20B96"/>
    <w:rsid w:val="3AD91537"/>
    <w:rsid w:val="3BFD0635"/>
    <w:rsid w:val="3C3A01B7"/>
    <w:rsid w:val="3CFE2338"/>
    <w:rsid w:val="3D236B41"/>
    <w:rsid w:val="3DC3612A"/>
    <w:rsid w:val="3DCB7644"/>
    <w:rsid w:val="3E4F25BA"/>
    <w:rsid w:val="40A10A0D"/>
    <w:rsid w:val="41AF0D12"/>
    <w:rsid w:val="41F75163"/>
    <w:rsid w:val="42C30EE7"/>
    <w:rsid w:val="43145DB4"/>
    <w:rsid w:val="43562515"/>
    <w:rsid w:val="445B21D4"/>
    <w:rsid w:val="44B60029"/>
    <w:rsid w:val="45791ECA"/>
    <w:rsid w:val="45F42729"/>
    <w:rsid w:val="45F62DD6"/>
    <w:rsid w:val="48A12FDB"/>
    <w:rsid w:val="48CE7996"/>
    <w:rsid w:val="49F607E8"/>
    <w:rsid w:val="4ACE5F36"/>
    <w:rsid w:val="503508BB"/>
    <w:rsid w:val="52254DEC"/>
    <w:rsid w:val="52DA7FFA"/>
    <w:rsid w:val="547E1A84"/>
    <w:rsid w:val="549B50DF"/>
    <w:rsid w:val="55821582"/>
    <w:rsid w:val="5642390C"/>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3B72F0"/>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5255</Words>
  <Characters>5389</Characters>
  <Lines>0</Lines>
  <Paragraphs>0</Paragraphs>
  <TotalTime>1</TotalTime>
  <ScaleCrop>false</ScaleCrop>
  <LinksUpToDate>false</LinksUpToDate>
  <CharactersWithSpaces>6564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2026-03-25T00:33:15Z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