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02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普定县中医医院肛肠科“942”筑峰计划</w:t>
      </w:r>
    </w:p>
    <w:p w14:paraId="72DAD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临床重点专科设备采购项目需求清单</w:t>
      </w:r>
      <w:bookmarkStart w:id="0" w:name="_GoBack"/>
      <w:bookmarkEnd w:id="0"/>
    </w:p>
    <w:tbl>
      <w:tblPr>
        <w:tblStyle w:val="2"/>
        <w:tblW w:w="8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8"/>
        <w:gridCol w:w="3338"/>
        <w:gridCol w:w="1025"/>
        <w:gridCol w:w="865"/>
        <w:gridCol w:w="1275"/>
        <w:gridCol w:w="864"/>
      </w:tblGrid>
      <w:tr w14:paraId="1B68F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9A6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序号</w:t>
            </w:r>
          </w:p>
        </w:tc>
        <w:tc>
          <w:tcPr>
            <w:tcW w:w="3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229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设备名称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BB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052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EC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E9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备注</w:t>
            </w:r>
          </w:p>
        </w:tc>
      </w:tr>
      <w:tr w14:paraId="34ED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2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4BB8DB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电子内窥镜图像处理器</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17F0714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nil"/>
              <w:left w:val="single" w:color="000000" w:sz="4" w:space="0"/>
              <w:bottom w:val="single" w:color="000000" w:sz="4" w:space="0"/>
              <w:right w:val="single" w:color="000000" w:sz="4" w:space="0"/>
            </w:tcBorders>
            <w:shd w:val="clear" w:color="auto" w:fill="auto"/>
            <w:noWrap/>
            <w:vAlign w:val="center"/>
          </w:tcPr>
          <w:p w14:paraId="2E0769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restart"/>
            <w:tcBorders>
              <w:top w:val="nil"/>
              <w:left w:val="single" w:color="000000" w:sz="4" w:space="0"/>
              <w:right w:val="single" w:color="000000" w:sz="4" w:space="0"/>
            </w:tcBorders>
            <w:shd w:val="clear" w:color="auto" w:fill="auto"/>
            <w:noWrap/>
            <w:vAlign w:val="center"/>
          </w:tcPr>
          <w:p w14:paraId="3CD7FE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48万</w:t>
            </w:r>
          </w:p>
        </w:tc>
        <w:tc>
          <w:tcPr>
            <w:tcW w:w="864" w:type="dxa"/>
            <w:vMerge w:val="restart"/>
            <w:tcBorders>
              <w:top w:val="single" w:color="000000" w:sz="4" w:space="0"/>
              <w:left w:val="nil"/>
              <w:right w:val="single" w:color="000000" w:sz="4" w:space="0"/>
            </w:tcBorders>
            <w:shd w:val="clear" w:color="auto" w:fill="auto"/>
            <w:noWrap/>
            <w:vAlign w:val="center"/>
          </w:tcPr>
          <w:p w14:paraId="7637A120">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lang w:eastAsia="zh-CN"/>
              </w:rPr>
            </w:pPr>
            <w:r>
              <w:rPr>
                <w:rFonts w:hint="eastAsia" w:ascii="仿宋_GB2312" w:hAnsi="仿宋_GB2312" w:eastAsia="仿宋_GB2312" w:cs="仿宋_GB2312"/>
                <w:i w:val="0"/>
                <w:iCs w:val="0"/>
                <w:color w:val="000000"/>
                <w:sz w:val="30"/>
                <w:szCs w:val="30"/>
                <w:u w:val="none"/>
                <w:lang w:eastAsia="zh-CN"/>
              </w:rPr>
              <w:t>核心产品</w:t>
            </w:r>
          </w:p>
        </w:tc>
      </w:tr>
      <w:tr w14:paraId="3228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FE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2</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0F15F9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电子下消化道内窥镜</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6D3110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条</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D0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3DBEDC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vMerge w:val="continue"/>
            <w:tcBorders>
              <w:left w:val="nil"/>
              <w:right w:val="single" w:color="000000" w:sz="4" w:space="0"/>
            </w:tcBorders>
            <w:shd w:val="clear" w:color="auto" w:fill="auto"/>
            <w:noWrap/>
            <w:vAlign w:val="center"/>
          </w:tcPr>
          <w:p w14:paraId="355BB710">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7094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A4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3</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0F29F1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医用专用显示器</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172023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E0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213FF92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vMerge w:val="continue"/>
            <w:tcBorders>
              <w:left w:val="nil"/>
              <w:right w:val="single" w:color="000000" w:sz="4" w:space="0"/>
            </w:tcBorders>
            <w:shd w:val="clear" w:color="auto" w:fill="auto"/>
            <w:noWrap/>
            <w:vAlign w:val="center"/>
          </w:tcPr>
          <w:p w14:paraId="4EFDB1AA">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2623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81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4</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2E48C0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医用专用台车</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09F9D7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ED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28770C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vMerge w:val="continue"/>
            <w:tcBorders>
              <w:left w:val="nil"/>
              <w:right w:val="single" w:color="000000" w:sz="4" w:space="0"/>
            </w:tcBorders>
            <w:shd w:val="clear" w:color="auto" w:fill="auto"/>
            <w:noWrap/>
            <w:vAlign w:val="center"/>
          </w:tcPr>
          <w:p w14:paraId="0A85A8CB">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5322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5BF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5</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13D49B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高清图文工作站</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3C4D83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51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6B8E58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vMerge w:val="continue"/>
            <w:tcBorders>
              <w:left w:val="nil"/>
              <w:bottom w:val="single" w:color="000000" w:sz="4" w:space="0"/>
              <w:right w:val="single" w:color="000000" w:sz="4" w:space="0"/>
            </w:tcBorders>
            <w:shd w:val="clear" w:color="auto" w:fill="auto"/>
            <w:noWrap/>
            <w:vAlign w:val="center"/>
          </w:tcPr>
          <w:p w14:paraId="0ED3146C">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266C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D6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6</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0A4423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内镜用冲洗器</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0E7C32F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0DE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4B0A1C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21914579">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5097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10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7</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1F0AE21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高频电刀</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5BCD665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5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7FF5D8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26E205AA">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6223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C7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8</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7C0CF2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纯水机</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45948A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7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67C4B9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686A5C35">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2215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63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9</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02D6FD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清洗消毒工作站</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64F5272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套</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A8E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79244ED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10FEA976">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7B4A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D3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10</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603221D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储镜柜</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23038D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1AE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4A651C5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77BDDC8A">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3FBE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F3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11</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0A953E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内镜转运车</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3BAEB2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64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30"/>
                <w:szCs w:val="30"/>
                <w:u w:val="none"/>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right w:val="single" w:color="000000" w:sz="4" w:space="0"/>
            </w:tcBorders>
            <w:shd w:val="clear" w:color="auto" w:fill="auto"/>
            <w:noWrap/>
            <w:vAlign w:val="center"/>
          </w:tcPr>
          <w:p w14:paraId="3DF8C6C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36E2ECFB">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r w14:paraId="47E8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B57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12</w:t>
            </w:r>
          </w:p>
        </w:tc>
        <w:tc>
          <w:tcPr>
            <w:tcW w:w="3338" w:type="dxa"/>
            <w:tcBorders>
              <w:top w:val="single" w:color="000000" w:sz="4" w:space="0"/>
              <w:left w:val="single" w:color="000000" w:sz="4" w:space="0"/>
              <w:bottom w:val="single" w:color="000000" w:sz="4" w:space="0"/>
              <w:right w:val="nil"/>
            </w:tcBorders>
            <w:shd w:val="clear" w:color="auto" w:fill="auto"/>
            <w:noWrap/>
            <w:vAlign w:val="center"/>
          </w:tcPr>
          <w:p w14:paraId="4D36A4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检查床</w:t>
            </w:r>
          </w:p>
        </w:tc>
        <w:tc>
          <w:tcPr>
            <w:tcW w:w="1025" w:type="dxa"/>
            <w:tcBorders>
              <w:top w:val="single" w:color="000000" w:sz="4" w:space="0"/>
              <w:left w:val="single" w:color="000000" w:sz="4" w:space="0"/>
              <w:bottom w:val="single" w:color="000000" w:sz="4" w:space="0"/>
              <w:right w:val="nil"/>
            </w:tcBorders>
            <w:shd w:val="clear" w:color="auto" w:fill="auto"/>
            <w:noWrap/>
            <w:vAlign w:val="center"/>
          </w:tcPr>
          <w:p w14:paraId="06D0CD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张</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D2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_GB2312" w:hAnsi="仿宋_GB2312" w:eastAsia="仿宋_GB2312" w:cs="仿宋_GB2312"/>
                <w:i w:val="0"/>
                <w:iCs w:val="0"/>
                <w:color w:val="000000"/>
                <w:kern w:val="0"/>
                <w:sz w:val="30"/>
                <w:szCs w:val="30"/>
                <w:u w:val="none"/>
                <w:lang w:val="en-US" w:eastAsia="zh-CN" w:bidi="ar"/>
              </w:rPr>
            </w:pPr>
            <w:r>
              <w:rPr>
                <w:rFonts w:hint="eastAsia" w:ascii="仿宋_GB2312" w:hAnsi="仿宋_GB2312" w:eastAsia="仿宋_GB2312" w:cs="仿宋_GB2312"/>
                <w:i w:val="0"/>
                <w:iCs w:val="0"/>
                <w:color w:val="000000"/>
                <w:kern w:val="0"/>
                <w:sz w:val="30"/>
                <w:szCs w:val="30"/>
                <w:u w:val="none"/>
                <w:lang w:val="en-US" w:eastAsia="zh-CN" w:bidi="ar"/>
              </w:rPr>
              <w:t>1</w:t>
            </w:r>
          </w:p>
        </w:tc>
        <w:tc>
          <w:tcPr>
            <w:tcW w:w="1275" w:type="dxa"/>
            <w:vMerge w:val="continue"/>
            <w:tcBorders>
              <w:left w:val="single" w:color="000000" w:sz="4" w:space="0"/>
              <w:bottom w:val="single" w:color="000000" w:sz="4" w:space="0"/>
              <w:right w:val="single" w:color="000000" w:sz="4" w:space="0"/>
            </w:tcBorders>
            <w:shd w:val="clear" w:color="auto" w:fill="auto"/>
            <w:noWrap/>
            <w:vAlign w:val="center"/>
          </w:tcPr>
          <w:p w14:paraId="1B7104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30"/>
                <w:szCs w:val="30"/>
                <w:u w:val="none"/>
                <w:lang w:val="en-US" w:eastAsia="zh-CN" w:bidi="ar"/>
              </w:rPr>
            </w:pPr>
          </w:p>
        </w:tc>
        <w:tc>
          <w:tcPr>
            <w:tcW w:w="864" w:type="dxa"/>
            <w:tcBorders>
              <w:top w:val="single" w:color="000000" w:sz="4" w:space="0"/>
              <w:left w:val="nil"/>
              <w:bottom w:val="single" w:color="000000" w:sz="4" w:space="0"/>
              <w:right w:val="single" w:color="000000" w:sz="4" w:space="0"/>
            </w:tcBorders>
            <w:shd w:val="clear" w:color="auto" w:fill="auto"/>
            <w:noWrap/>
            <w:vAlign w:val="center"/>
          </w:tcPr>
          <w:p w14:paraId="55F744F5">
            <w:pPr>
              <w:keepNext w:val="0"/>
              <w:keepLines w:val="0"/>
              <w:pageBreakBefore w:val="0"/>
              <w:widowControl/>
              <w:kinsoku/>
              <w:wordWrap/>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30"/>
                <w:szCs w:val="30"/>
                <w:u w:val="none"/>
              </w:rPr>
            </w:pPr>
          </w:p>
        </w:tc>
      </w:tr>
    </w:tbl>
    <w:p w14:paraId="31D90F7E">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仿宋_GB2312" w:hAnsi="仿宋_GB2312" w:eastAsia="仿宋_GB2312" w:cs="仿宋_GB2312"/>
          <w:sz w:val="28"/>
          <w:szCs w:val="28"/>
          <w:lang w:val="en-US" w:eastAsia="zh-CN"/>
        </w:rPr>
      </w:pPr>
      <w:r>
        <w:rPr>
          <w:rFonts w:hint="eastAsia" w:ascii="方正小标宋简体" w:hAnsi="方正小标宋简体" w:eastAsia="方正小标宋简体" w:cs="方正小标宋简体"/>
          <w:sz w:val="44"/>
          <w:szCs w:val="44"/>
          <w:lang w:val="en-US" w:eastAsia="zh-CN"/>
        </w:rPr>
        <w:t>技术参数要求</w:t>
      </w:r>
    </w:p>
    <w:p w14:paraId="34C944CE">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电子内窥镜图像处理器</w:t>
      </w:r>
    </w:p>
    <w:p w14:paraId="7D2772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1.图像输出：4K超高清数字输出图像，图像分辨率3840×2160；</w:t>
      </w:r>
    </w:p>
    <w:p w14:paraId="6E2FB6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★2.主机光源一体式设计，≥10寸超大触摸屏；</w:t>
      </w:r>
    </w:p>
    <w:p w14:paraId="0EB0A4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3.信号输出接口：SDI、HDMI、DVI、VIDEO、Y/C、分量（RGB、SYNC)视频接口，网络接口（LAN口)；</w:t>
      </w:r>
    </w:p>
    <w:p w14:paraId="003F41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4.信号输入接口：具有Y/C、VIDEO、SDI信号输入接口；</w:t>
      </w:r>
    </w:p>
    <w:p w14:paraId="6AC6BB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5.图像处理系统模式:FPGA硬件图像处理系统，非windows系统，稳定性更强；</w:t>
      </w:r>
    </w:p>
    <w:p w14:paraId="4E6FCEE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6.数字放大：≥4.0倍，≥6档可调；</w:t>
      </w:r>
    </w:p>
    <w:p w14:paraId="2E7B7B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7.测光模式:具有自动测光、峰值测光、平均测光模式可调；</w:t>
      </w:r>
    </w:p>
    <w:p w14:paraId="66C9EB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8.光学观察：具有光学染色成像功能，至少具备NBI、AFI、LCI、OE、CBI、EBI等其中任何一种特殊光检查方法，提高早癌诊断率；</w:t>
      </w:r>
    </w:p>
    <w:p w14:paraId="34B0AA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9.按钮自定义功能具有内窥镜功能按钮自定义功能；</w:t>
      </w:r>
    </w:p>
    <w:p w14:paraId="03C88F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10.调光模式：具有自动调光、手动调光模式；</w:t>
      </w:r>
    </w:p>
    <w:p w14:paraId="4D315E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11.色调调节：可分别调节红色、绿色、蓝色、色度，±15级可调；</w:t>
      </w:r>
    </w:p>
    <w:p w14:paraId="292CC4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12.轮廓强调：具有轮廓强调模式，≥16档可调；</w:t>
      </w:r>
    </w:p>
    <w:p w14:paraId="2BDABE2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13.结构强化：具有结构强化模式，≥16档可调；</w:t>
      </w:r>
    </w:p>
    <w:p w14:paraId="3495B3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14.白平衡：具有白平衡功能；</w:t>
      </w:r>
    </w:p>
    <w:p w14:paraId="1019A2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15.内置硬盘：≥500G存储患者数量10000个；</w:t>
      </w:r>
    </w:p>
    <w:p w14:paraId="236435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16.具有USB存储功能，支持图片、视频U盘存储USB接口3个；</w:t>
      </w:r>
    </w:p>
    <w:p w14:paraId="542493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17.支持白光和不少于3种特殊光照明染色模式；</w:t>
      </w:r>
    </w:p>
    <w:p w14:paraId="6DA4ED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18.气泵压力：40-90kPa，OFF\L\M\H四档可调；</w:t>
      </w:r>
    </w:p>
    <w:p w14:paraId="284AA9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19.光源灯泡使用寿命≥30000小时；</w:t>
      </w:r>
    </w:p>
    <w:p w14:paraId="127F49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20.光照强度：光照强度可调节，具有自动调光、手动调光可调；；</w:t>
      </w:r>
    </w:p>
    <w:p w14:paraId="002CF11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21.色温：3000K～7000K可调；</w:t>
      </w:r>
    </w:p>
    <w:p w14:paraId="7625E0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22.脚踏开关：支持脚踏开关，脚踏开关有自定义功能；</w:t>
      </w:r>
    </w:p>
    <w:p w14:paraId="0751F0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23.降噪：具有降噪功能；</w:t>
      </w:r>
    </w:p>
    <w:p w14:paraId="7D1DEF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★24.兼容性：可兼容十二指肠镜、胃镜、肠镜、鼻咽喉镜、电子支气管镜等（须提供注册证或技术白皮书作为佐证）；</w:t>
      </w:r>
    </w:p>
    <w:p w14:paraId="5B6E65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★25.使用年限≥10年。</w:t>
      </w:r>
    </w:p>
    <w:p w14:paraId="04239DA0">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电子下消化道内窥镜</w:t>
      </w:r>
    </w:p>
    <w:p w14:paraId="62DD2C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1.导光部一键式拔插设计，支持内镜热插拔，全密封设计，无需防水帽，可直接浸泡消毒；</w:t>
      </w:r>
    </w:p>
    <w:p w14:paraId="2BDB04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2.视野角≥170°；</w:t>
      </w:r>
    </w:p>
    <w:p w14:paraId="426D63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3.景深：2～100mm；</w:t>
      </w:r>
    </w:p>
    <w:p w14:paraId="41D42D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4.头端部外径≤12.2mm；</w:t>
      </w:r>
    </w:p>
    <w:p w14:paraId="32684C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5.插入部主软管外径≤12.2mm；</w:t>
      </w:r>
    </w:p>
    <w:p w14:paraId="590FEF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6.钳道孔内径：≥3.8mm；</w:t>
      </w:r>
    </w:p>
    <w:p w14:paraId="34C288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7.弯曲角度：上、下各≥180°，左、右各≥160°；</w:t>
      </w:r>
    </w:p>
    <w:p w14:paraId="25FF3F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8.有效工作长度≥1350mm；</w:t>
      </w:r>
    </w:p>
    <w:p w14:paraId="0CE74D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9.最小可视距离≤2mm；</w:t>
      </w:r>
    </w:p>
    <w:p w14:paraId="0A3D8D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10.配合主机系统具有窄带成像功能；</w:t>
      </w:r>
    </w:p>
    <w:p w14:paraId="396B7A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11.镜身软硬度可调；</w:t>
      </w:r>
    </w:p>
    <w:p w14:paraId="6955190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12.具有向前附送水功能、同步传导功能、被动弯曲功能；</w:t>
      </w:r>
    </w:p>
    <w:p w14:paraId="16839C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13.智能按键：操作手柄具有快捷按键，可自定义功能按键，且不少于5个；</w:t>
      </w:r>
    </w:p>
    <w:p w14:paraId="5E14E3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★14.具有3照明光窗设计；</w:t>
      </w:r>
    </w:p>
    <w:p w14:paraId="193F1B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15.使用年限≥8年。</w:t>
      </w:r>
    </w:p>
    <w:p w14:paraId="32789BA5">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医用专用显示器</w:t>
      </w:r>
    </w:p>
    <w:p w14:paraId="002A94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1.监视器为彩色医疗图像监视器；</w:t>
      </w:r>
    </w:p>
    <w:p w14:paraId="049C37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2.具有16:9比例高亮度，高清液晶显示；</w:t>
      </w:r>
    </w:p>
    <w:p w14:paraId="7010E5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3.监视器尺寸≥27寸；</w:t>
      </w:r>
    </w:p>
    <w:p w14:paraId="096920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4.分辨率≥3840×2160。</w:t>
      </w:r>
    </w:p>
    <w:p w14:paraId="12624197">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医用专用台车</w:t>
      </w:r>
    </w:p>
    <w:p w14:paraId="11FEF4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1.专业设计的内镜专用台车；</w:t>
      </w:r>
    </w:p>
    <w:p w14:paraId="50081B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2.整体台车具有更好的绝缘性，防水性和耐腐蚀性，安全方便可靠；</w:t>
      </w:r>
    </w:p>
    <w:p w14:paraId="5D7891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3.层板高度可调。</w:t>
      </w:r>
    </w:p>
    <w:p w14:paraId="5D357767">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高清图文工作站</w:t>
      </w:r>
    </w:p>
    <w:p w14:paraId="20AD91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1.配置：电脑1套、彩色打印机1台。</w:t>
      </w:r>
    </w:p>
    <w:p w14:paraId="40279F11">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内镜用冲洗器</w:t>
      </w:r>
    </w:p>
    <w:p w14:paraId="662C3A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1.全新设计的外观，液晶屏可提供全面的设备状态显示；</w:t>
      </w:r>
    </w:p>
    <w:p w14:paraId="00DA98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2.具有语言设置功能，可进行中/英语言切换；</w:t>
      </w:r>
    </w:p>
    <w:p w14:paraId="110511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3.流量可视化多档位调节，≥10档可调；</w:t>
      </w:r>
    </w:p>
    <w:p w14:paraId="6351FE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4.实现大流量供水≥580ml/min,能够有效冲洗观察部位；</w:t>
      </w:r>
    </w:p>
    <w:p w14:paraId="4C3BE3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5.供水操作限制：踩压脚踏开关，内窥镜冲洗器供水，松开脚踏开关，内窥镜冲洗器停关，最长供水持续时间为20±3秒；</w:t>
      </w:r>
    </w:p>
    <w:p w14:paraId="61C39A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6.传输压强：≤350kPa；</w:t>
      </w:r>
    </w:p>
    <w:p w14:paraId="252077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7.配备≥2400ml大容量水瓶；</w:t>
      </w:r>
    </w:p>
    <w:p w14:paraId="6E80F4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8.控制开关：内窥镜冲洗器配套自动回位控制开关，由脚踏开关控制；</w:t>
      </w:r>
    </w:p>
    <w:p w14:paraId="083F47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9.具有供水控制、供水调节、供水时间控制的功能；</w:t>
      </w:r>
    </w:p>
    <w:p w14:paraId="633A947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10.兼容市面各种带有副送水功能的内镜。</w:t>
      </w:r>
    </w:p>
    <w:p w14:paraId="7C386145">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高频电刀</w:t>
      </w:r>
    </w:p>
    <w:p w14:paraId="0785A2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1.氩气高频电刀集切割、凝血、双极和APC氩气技术为一体设备，可满足临床各类型内镜及内外科联合手术的需求；</w:t>
      </w:r>
    </w:p>
    <w:p w14:paraId="7A99A5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2.全悬浮输出，具有两个相互独立和隔离的CF型防除颤应用部分（单极和双极)，非AP、APG型普通设备；</w:t>
      </w:r>
    </w:p>
    <w:p w14:paraId="43298E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★3.具有≥8种工作模式，最大输出功率≥300W（负载500Ω)；</w:t>
      </w:r>
    </w:p>
    <w:p w14:paraId="23EEEB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纯切：≥300W（负载500Ω)；混切1：≥200W（负载500Ω)；</w:t>
      </w:r>
    </w:p>
    <w:p w14:paraId="518A4B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混切2：≥150W（负载500Ω)；内镜切：≥300W（负载500Ω)；</w:t>
      </w:r>
    </w:p>
    <w:p w14:paraId="5EF3A3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喷凝：≥80W（负载500Ω)；柔凝：≥120W（负载500Ω)；</w:t>
      </w:r>
    </w:p>
    <w:p w14:paraId="0E9B6D7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氩气凝：≥80W（负载500Ω)；双极：≥70W（负载100Ω)；</w:t>
      </w:r>
    </w:p>
    <w:p w14:paraId="4163D1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4.具有独立高频发生器通用内窥接口，可配合各类型内窥镜进行治疗（支气管镜、消化内镜、腹腔镜等各类型内窥镜）；</w:t>
      </w:r>
    </w:p>
    <w:p w14:paraId="78F197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5.具有可调节高频脉切刀系统，无烟切割；</w:t>
      </w:r>
    </w:p>
    <w:p w14:paraId="568F37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★6.具有内镜专用治疗模块，具有≥5种效果可调，支持内镜下治疗；</w:t>
      </w:r>
    </w:p>
    <w:p w14:paraId="31D35FE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★7.仪器前面板设置有氩气压力表，可精准实时显示氩气工作状态；</w:t>
      </w:r>
    </w:p>
    <w:p w14:paraId="7A2C62A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8.具有智能中断安全系统，全程监测喷嘴压力。当氩气管堵塞或扭结，会发出报警指示并切断氩气输出；</w:t>
      </w:r>
    </w:p>
    <w:p w14:paraId="5DF886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9.具有≥10组储存记忆模式；</w:t>
      </w:r>
    </w:p>
    <w:p w14:paraId="1B3E7F1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10.采用独立LED显示屏，面板采用图标和数字显示；</w:t>
      </w:r>
    </w:p>
    <w:p w14:paraId="3972B2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11.三联脚踏开关独立控制，直踩即时输出，术中无需转换；</w:t>
      </w:r>
    </w:p>
    <w:p w14:paraId="584E09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12.具有病人回路电极板接触质量检测系统；</w:t>
      </w:r>
    </w:p>
    <w:p w14:paraId="041723F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13.具有断电保护电路功能；</w:t>
      </w:r>
    </w:p>
    <w:p w14:paraId="1D6EB2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14.具有氩气一键式冲洗功能；</w:t>
      </w:r>
    </w:p>
    <w:p w14:paraId="721217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15、具有真人语音播报及声光报警、错误代码提示功能，故障诊断系统；</w:t>
      </w:r>
    </w:p>
    <w:p w14:paraId="394AA13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★16、设备使用年限≥10年（国家药品监督管理局备案文件）。</w:t>
      </w:r>
    </w:p>
    <w:p w14:paraId="511794BC">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纯水机</w:t>
      </w:r>
    </w:p>
    <w:p w14:paraId="3F9F94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1.源水水质：市政自来水管网水源；</w:t>
      </w:r>
    </w:p>
    <w:p w14:paraId="41413EB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2.产品水用途：内镜中心清洗及终末漂洗内镜用纯水；</w:t>
      </w:r>
    </w:p>
    <w:p w14:paraId="6B6683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3.产水量：≥100L/h；</w:t>
      </w:r>
    </w:p>
    <w:p w14:paraId="0BE77E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★4.产水水质标准：符合WS310-2016清洗用纯化水电导率≤15us/cmm(25℃)及WS507-2016《软式内镜清洗消毒技术规范》中对终末漂洗用水细菌总数≤10CFU/100ml的规定。</w:t>
      </w:r>
    </w:p>
    <w:p w14:paraId="08CB6A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5.系统要求：实时显示在线显示设备运行状态(水质、流量、压力等)，整个控制系统具备自动功能(自动制水、自动冲洗、原水缺水/水箱满水自动停机等)；</w:t>
      </w:r>
    </w:p>
    <w:p w14:paraId="154F2A2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6.工艺流程：主要流程采用“预处理+反渗透+杀菌系统+恒压供水”工艺；</w:t>
      </w:r>
    </w:p>
    <w:p w14:paraId="7D869A9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7.反渗透系统：具有运行冲洗、定时冲洗、手动冲洗等功能，反渗透系统采用原装进口反渗透膜元件；</w:t>
      </w:r>
    </w:p>
    <w:p w14:paraId="39BDBD3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8.1处理方式：单级反渗透；</w:t>
      </w:r>
    </w:p>
    <w:p w14:paraId="2BEECD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8.2高压泵要求：采用不锈钢高压泵，流量≥2m³/h、扬程≥65m；</w:t>
      </w:r>
    </w:p>
    <w:p w14:paraId="02F26A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8.3膜元件要求；脱盐率≥99%，膜片类型为：芳香族聚酰胺复合膜，产水量为≥0.25m³/h/支；</w:t>
      </w:r>
    </w:p>
    <w:p w14:paraId="6F274C0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8.4膜元件数量：≥1根/套；</w:t>
      </w:r>
    </w:p>
    <w:p w14:paraId="0CA533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9.1纯化水水箱：采用304不锈钢材质用于储备反渗透产水水箱，水箱内装有液位控制器，通过液位控制器实现反渗透装置和纯化水外输送泵的起停；</w:t>
      </w:r>
    </w:p>
    <w:p w14:paraId="635D0E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9.2纯水泵要求：材质为不锈钢，流量≥2m³/h、扬程≥30m；</w:t>
      </w:r>
    </w:p>
    <w:p w14:paraId="27BBF5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9.3供水同时受水箱液位或原水低压开关的双重控制，以实现整个系统的平衡、稳定运行和对水泵的保护；</w:t>
      </w:r>
    </w:p>
    <w:p w14:paraId="71DA72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10.智能启停：具备开机自检、缺水保护报警、停电自动复位、水箱满水后自动停机、高水压、过载保护等功能；</w:t>
      </w:r>
    </w:p>
    <w:p w14:paraId="3E2D87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11.反渗透膜再生功能：反渗透膜具有自动冲洗功能，水质在线监测系统可即时测量产水水质，电导仪连续监测显示原水、产水的水质；</w:t>
      </w:r>
    </w:p>
    <w:p w14:paraId="7163BD8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12.流量监测：产水设有流量计，以监视并调节运行出水量及系统水利用率，通过合理工艺设计，水利用率高。</w:t>
      </w:r>
    </w:p>
    <w:p w14:paraId="6A97E8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13.设备功率：2KW(220V50Hz)。</w:t>
      </w:r>
    </w:p>
    <w:p w14:paraId="6556343F">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全自动洗内镜消机</w:t>
      </w:r>
    </w:p>
    <w:p w14:paraId="4421D2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1.适用范围：产品用于对软式内镜的清洗消毒；</w:t>
      </w:r>
    </w:p>
    <w:p w14:paraId="5B923B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2.处理能力：可清洗消毒1条胃肠镜或同时清洗消毒1～2条支气管镜；</w:t>
      </w:r>
    </w:p>
    <w:p w14:paraId="419435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3.清洗槽结构：采用“上高下低”设计，槽体底部为整体平面倾斜，无凸起结构，确保内镜清洗、浸泡充分。提供清洗槽实物照片；</w:t>
      </w:r>
    </w:p>
    <w:p w14:paraId="4488D5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★4.清洗槽材质：槽体采用PMMA+ABS材质，具有良好的抗老化性能，在紫外线辐射照度≥0.75W/m2/nm@34nm情况下，通过了紫外老化试验。提供材料老化试验检测报告；</w:t>
      </w:r>
    </w:p>
    <w:p w14:paraId="018E39B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5.槽体密闭：采用全封闭槽体设计，双向密封模式，减少消毒过程中消毒剂气味的泄露，减少医护人员的职业危害；</w:t>
      </w:r>
    </w:p>
    <w:p w14:paraId="41B9A3F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6.节液槽设计：槽体采用节液状态设计模式，在槽体中部采用岛式设计，单个运行过程清洗液或消毒剂使用量≤9L，节约消毒剂、清洗剂的使用，减少能源的损耗，降低设备运行成本；</w:t>
      </w:r>
    </w:p>
    <w:p w14:paraId="32BD7C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★7.清洗监测：在内镜与清洗消毒器内液体接触前和处理过程结束时分别有进行管道通畅测试，以保证内镜的清洗效果和消毒效果。提供设备具有堵塞测试功能的检测报告；</w:t>
      </w:r>
    </w:p>
    <w:p w14:paraId="7B8353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泄漏测试：设备具有泄漏测试功能，在内镜与清洗消毒器内液体接触前完成泄漏测试，并持续检测，避免液体进入内镜通道造成内镜损坏。清洗前内镜泄露压力≤20kPa，清洗过程中泄露压力≤7kPa，若存在泄露时，机器报警并终止程序。提供设备具有泄露测试功能的检测报告；</w:t>
      </w:r>
    </w:p>
    <w:p w14:paraId="146DAFE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9.测漏压力传感器：采用知名品牌压力传感器，感应精确，性能可靠；</w:t>
      </w:r>
    </w:p>
    <w:p w14:paraId="370D30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10.电磁阀：采用知名品牌电磁阀，动作准确，性能可靠；</w:t>
      </w:r>
    </w:p>
    <w:p w14:paraId="0FD16E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11.门结构：采用电动推杆作为开关门的驱动装置，当设备门的驱动机构不起作用时，能手动开门；</w:t>
      </w:r>
    </w:p>
    <w:p w14:paraId="35493B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★12.开门方式：设备正常状态下有≥3种开门模式，可采用脚踢、触摸屏操作和紧急状态下手动开门等多种模式开门。提供不同模式下的开门方式的实物照片；</w:t>
      </w:r>
    </w:p>
    <w:p w14:paraId="1782A46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13.门安全防护：门未关闭或锁好时，设备无法启动运行周期；清洗消毒器若有故障，应采用密码的方式确认，方可打开门接触负载。</w:t>
      </w:r>
    </w:p>
    <w:p w14:paraId="3C5D3BD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14.门观察窗：采用钢化玻璃门，可以清晰观察镜子的清洗消毒情况。</w:t>
      </w:r>
    </w:p>
    <w:p w14:paraId="6CFA4F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15、喷淋清洗：设备顶部设有旋转喷淋装置，喷射水流横向360°+纵向360°劲流而出，上下兼顾，大大提升清洗槽内水流覆盖面积，各个位置的边角缝隙全能冲刷到位；</w:t>
      </w:r>
    </w:p>
    <w:p w14:paraId="758BB5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16.进水要求：设备采用双路进水设计，终末漂洗用水与清洗用水分开设置，降低无菌水使用成本。提供设备进水管路实际照片；</w:t>
      </w:r>
    </w:p>
    <w:p w14:paraId="20AB39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17.运行流程：清洗流程应符合YY0734.1和GB30689中性能指标的要求，流程应至少包含泄漏测试、冲洗、清洗、漂洗、消毒、终末漂洗和干燥过程。提供设备运行界面图片，并加盖鲜章；</w:t>
      </w:r>
    </w:p>
    <w:p w14:paraId="042788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18.主控制系统：采用工业级智能控制系统，系统稳定性高，适合在恶劣的环境中使用；具有故障自动检测功能，故障直接显示功能，非代码显示。运行过程能实时监控设备的运行的温度、时间、压力等相关参数；</w:t>
      </w:r>
    </w:p>
    <w:p w14:paraId="324F96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19.彩色触摸屏：采用分辨率≥800*60且尺寸≥7寸高清彩色触摸屏显示，触摸屏位于设备上方，能动态的显示设备各个阶段运行状态消毒剂使用信息，可通过触摸屏显示故障信息。提供证明文件并加盖鲜章；</w:t>
      </w:r>
    </w:p>
    <w:p w14:paraId="24E1C1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20.显示内容：显示屏显示运行过程的程序名称、洗消日期、运行阶段名称和阶段计时并提供运行界面实物照片；</w:t>
      </w:r>
    </w:p>
    <w:p w14:paraId="00EA75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21.权限管路：产品控制系统设有三级权限设置；操作人员拥有一级权限，可完成日常洗消工作；管理员拥有二级权限，可进行程序参数调整；维护人员拥有三级权限，可更改设备内部参数；</w:t>
      </w:r>
    </w:p>
    <w:p w14:paraId="600F39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★22.运行程序：预置程序≥6套，程序中需具备晨消程序、自消毒程序及灭菌程序等，满足内镜次日首次使用前的清洗消毒要求、设备自身消毒要求及灭菌灭菌要求。提供设备注册程序证明文件；</w:t>
      </w:r>
    </w:p>
    <w:p w14:paraId="20C6805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23.喷淋灌流：设备具有喷淋和灌流两种清洗模式，喷淋清洗可快速对内镜表面、槽体及门盖进行清洗和消毒，灌流对内镜的管腔进行清洗消毒；</w:t>
      </w:r>
    </w:p>
    <w:p w14:paraId="303704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24.清洗液加热：设备在具有加热功能，清洗运行时应对清洗液进行加热，加热温度应符合YY0734.1的要求，清洗过程中温度在规定值的0℃—3℃范围之内。提供检测报告；</w:t>
      </w:r>
    </w:p>
    <w:p w14:paraId="58CD3C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消毒效果：设备运行快速程序，配合同品牌过氧乙酸消毒液、邻苯二甲醛消毒液共同使用，对用于模拟内镜中的聚四氟乙烯染菌载体上的枯草杆菌黑色变种芽孢的灭杀对数值＞3.00，对铜绿假单胞菌的灭杀对数值＞5.0。提供检测报告。</w:t>
      </w:r>
    </w:p>
    <w:p w14:paraId="56D855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灭菌效果：执行设备的灭菌程序，与配套的同品牌过氧乙酸消毒液共同使用，染菌载体上的枯草杆菌黑色变种芽孢无生长，符合《消毒技术规范》2.1.2.3中消毒剂对医疗器械的模拟现场灭菌试验的要求。提供检测报告；</w:t>
      </w:r>
    </w:p>
    <w:p w14:paraId="2EB3AA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27.消毒剂管理：设备具有消毒剂管理功能，可设置消毒剂名称、效期、运行周期、到期提醒、使用记录等功能；</w:t>
      </w:r>
    </w:p>
    <w:p w14:paraId="206F6E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28.消毒剂更换：设备具有消毒剂更换人机交互模式，消毒剂更换的每个阶段能自动提示，让操作人员更便捷；</w:t>
      </w:r>
    </w:p>
    <w:p w14:paraId="7E2FD28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29.浓度取样：设备具有消毒液浓度取样口，能够满足设备使用前用户对消毒液浓度检测的需求，确保消毒剂的有效性，保证消毒效果。</w:t>
      </w:r>
    </w:p>
    <w:p w14:paraId="57691F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30.吹扫模式：设备清洗消毒流程中不同步骤转换过程时，采用洁净的气体对内镜管腔、腔体和喷壁中的残留液体进行吹扫，拒绝残留水对消毒剂进行稀释，延长消毒剂的使用周期。提供证明文件并加盖鲜章；</w:t>
      </w:r>
    </w:p>
    <w:p w14:paraId="046EBF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31.漂洗用水：消毒后漂洗用水应使用纯化水。漂洗用水不能重复使用；同时终末漂洗用水与消毒/灭菌前漂洗用水不共用进水口。提供双路进水实物照片；</w:t>
      </w:r>
    </w:p>
    <w:p w14:paraId="317FEF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32.漂洗效果：使用过氧乙酸消毒液/邻苯二甲醛消毒液进行消毒或灭菌后，漂洗用水经设备过滤器过滤后需氧菌总数＜5CFU/100m1。提供检测报告；</w:t>
      </w:r>
    </w:p>
    <w:p w14:paraId="49D1E2E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33.无菌水取样：设备具有无菌水一键取样功能，能够满足用户终末漂洗用水水质检测的需求，确保无菌水的供应，保证终末漂洗效果。提供无菌水取样界面；</w:t>
      </w:r>
    </w:p>
    <w:p w14:paraId="0C964B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34.排水方式：采用泵主动排水，排水时间更快，效率更高，避免了重力排水慢、有残留的缺陷；</w:t>
      </w:r>
    </w:p>
    <w:p w14:paraId="2516CE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★35.化学助剂残留：内镜在经设备漂洗后，漂洗水中无有害物质残留，试验对特定元素甲醛、总砷、铅及荧光剂指标进行检测，结果应符合相关标准的要求。提供第三方检测报告；</w:t>
      </w:r>
    </w:p>
    <w:p w14:paraId="369C1F2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36.酒精干燥：终末漂洗完成后，设备可通过灌流装置对内镜的管腔注入酒精进行管腔的干燥；</w:t>
      </w:r>
    </w:p>
    <w:p w14:paraId="45E83C6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37.吹气干燥：终末漂洗完成后，设备可通过压缩气体对内镜进行干燥，干燥气体经≤0.2um高效过滤器过滤，不将微生物污染引入负载。</w:t>
      </w:r>
    </w:p>
    <w:p w14:paraId="060F145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38.管路材质：采用进口经FDA认证的食品级软管，提供FDA认证及产品涉水安全检测报告；</w:t>
      </w:r>
    </w:p>
    <w:p w14:paraId="34EE79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39.耗材柜：耗材柜（清洗剂、酒精）采用隐藏式结构涉及，更换耗材轻松便捷。</w:t>
      </w:r>
    </w:p>
    <w:p w14:paraId="36D554C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40.安全保护：设备具有漏电断路装置、过载保护装置、过热保护装置、加热器保护装置、缺水保护装置、化学助剂缺少保护装置、门安全防护装置等；</w:t>
      </w:r>
    </w:p>
    <w:p w14:paraId="05BBA9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41.记录方式：采用内置微型打印机，可自动打印各个过程的运行数据，同时可打印内镜信息和消毒剂的信息；</w:t>
      </w:r>
    </w:p>
    <w:p w14:paraId="11B1E0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42.打印内容：打印每一条内镜清洗消毒的过程数据：操作员编号、程序名称、洗消日期、洗消时间、阶段名称、阶段时间，并提供打印样品扫描件；</w:t>
      </w:r>
    </w:p>
    <w:p w14:paraId="141344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43.内镜注册：可通过设备预留记录装置和触摸屏，将内镜的信息录入到控制系统中，也可通过追溯系统实现一键同步，实现内镜、设备、运行的闭环追溯；</w:t>
      </w:r>
    </w:p>
    <w:p w14:paraId="249457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44.信息系统：设备预留追溯接口，可与内镜质量管理追溯系统对接，将设备运行数据进行追溯记录；</w:t>
      </w:r>
    </w:p>
    <w:p w14:paraId="17577AE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45.报警功能：具有多种报警功能，包括但不限于消毒剂不足报警、清洗液不足报警、酒精不足报警、水压低报警等；</w:t>
      </w:r>
    </w:p>
    <w:p w14:paraId="25A856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46.消毒剂储存箱容量：≥15L；</w:t>
      </w:r>
    </w:p>
    <w:p w14:paraId="728F4F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47.酶储存箱容量：≥2.5L；</w:t>
      </w:r>
    </w:p>
    <w:p w14:paraId="7B9424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48.酒精储存箱容量：≥2.5L；</w:t>
      </w:r>
    </w:p>
    <w:p w14:paraId="778A37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49.运行时间：使用与设备同品牌过氧乙酸（5min高水平消毒），标准程序：快速程序：晨消程序；</w:t>
      </w:r>
    </w:p>
    <w:p w14:paraId="276BCA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50.消耗水量：≤7L/步；</w:t>
      </w:r>
    </w:p>
    <w:p w14:paraId="1F6575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51.消毒液添加量：≤9L；</w:t>
      </w:r>
    </w:p>
    <w:p w14:paraId="1C26E9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52.设备尺寸：≤720*620*940mm；</w:t>
      </w:r>
    </w:p>
    <w:p w14:paraId="0B36FA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53.设备重量：≤110Kg；</w:t>
      </w:r>
    </w:p>
    <w:p w14:paraId="0E27582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54.使用年限：≥10年，提供产品注册证明文件。</w:t>
      </w:r>
    </w:p>
    <w:p w14:paraId="51EBFA4A">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储镜柜</w:t>
      </w:r>
    </w:p>
    <w:p w14:paraId="01434C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1.用途：主要用于软式内镜的干燥储存；</w:t>
      </w:r>
    </w:p>
    <w:p w14:paraId="7A9E02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2.内腔材质要求：采用进口PMMA材料用模具一体成形，要求内腔无丰隙，光亮平滑易于清洁；</w:t>
      </w:r>
    </w:p>
    <w:p w14:paraId="2BCDB7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3.外壳：采用防锈喷塑；</w:t>
      </w:r>
    </w:p>
    <w:p w14:paraId="126A2D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4.单门带有防盗锁；</w:t>
      </w:r>
    </w:p>
    <w:p w14:paraId="3EF1844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5.内镜储存数量：1～6条；</w:t>
      </w:r>
    </w:p>
    <w:p w14:paraId="4E45D2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6.主要特点及功能：内带紫外线循环风消毒及吹干功能；</w:t>
      </w:r>
    </w:p>
    <w:p w14:paraId="16C997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7.操作部：有数码及控制；</w:t>
      </w:r>
    </w:p>
    <w:p w14:paraId="66DDC7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8.底部有带四个移动脚轮；</w:t>
      </w:r>
    </w:p>
    <w:p w14:paraId="097AA5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9.内设智能化自动控制紫外线循环风消毒程序，消毒工作自动累时、照明和干燥功能等；</w:t>
      </w:r>
    </w:p>
    <w:p w14:paraId="09968A5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12.共有8种消毒模式供用户自由选择和设定；</w:t>
      </w:r>
    </w:p>
    <w:p w14:paraId="4B529DF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13.额定电压220V，额定频率50HZ，工作环境为-5～40°。</w:t>
      </w:r>
    </w:p>
    <w:p w14:paraId="1FA58E29">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内镜转运车</w:t>
      </w:r>
    </w:p>
    <w:p w14:paraId="2CFB85F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1.用途：用于软式内镜的转运；</w:t>
      </w:r>
    </w:p>
    <w:p w14:paraId="103DB1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2.材质：主体使用全钢材质，表面喷塑处理；</w:t>
      </w:r>
    </w:p>
    <w:p w14:paraId="3A89FEE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3.装载：2 层装载盒，一次性可装载2 条以上胃镜或肠镜；</w:t>
      </w:r>
    </w:p>
    <w:p w14:paraId="4F38022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4.移动：4 方向旋转脚轮，带脚轮锁；</w:t>
      </w:r>
    </w:p>
    <w:p w14:paraId="66BE831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5.功能：承载容器可单独进行消毒；有效避免交叉感染。</w:t>
      </w:r>
    </w:p>
    <w:p w14:paraId="069F6CED">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560" w:lineRule="exact"/>
        <w:ind w:left="0" w:leftChars="0" w:firstLine="42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医用转移车</w:t>
      </w:r>
    </w:p>
    <w:p w14:paraId="4573CF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1.规格：长*宽≥1930*760mm，升降高度范围：500～800mm；</w:t>
      </w:r>
    </w:p>
    <w:p w14:paraId="486101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2.病人抢救车由中控底座、升降主架、1*2阻尼护栏以及担架面四部分组成；</w:t>
      </w:r>
    </w:p>
    <w:p w14:paraId="2651F4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3.担架面采用注塑一次成型，担架背板配置液压装置可手动调整倾斜角度，调节范围0°～75°；</w:t>
      </w:r>
    </w:p>
    <w:p w14:paraId="02DF27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4.床面及主要结构采用优质高级ABS工程塑料一次性注塑成型，床面两侧带有1*2阻尼护栏，护栏锁紧机构可靠，美观实用；</w:t>
      </w:r>
    </w:p>
    <w:p w14:paraId="7DC824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5.该车底座采用国际同步的中控刹车制动系统；</w:t>
      </w:r>
    </w:p>
    <w:p w14:paraId="7118FDE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6.丝杆采用45#钢，由专用滚丝机滚挤压成型，丝口圆滑，操作轻松，丝杆具有双向过摇保护装置。摇把和丝杆之间采用“万向接”连接技术，“万向接”为钢件。抢救车空载折起动力矩≤3N.m；</w:t>
      </w:r>
    </w:p>
    <w:p w14:paraId="41B529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7.插式输液架为可调式，根据需要自行调节高度。输液杆材料采用Φ16不锈钢圆管，挂钩采用采用Φ5CR冷拔圆钢，挂钩数量为3个；</w:t>
      </w:r>
    </w:p>
    <w:p w14:paraId="6894CF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微软雅黑" w:hAnsi="微软雅黑" w:eastAsia="微软雅黑" w:cs="微软雅黑"/>
          <w:sz w:val="28"/>
          <w:szCs w:val="28"/>
          <w:lang w:val="en-US" w:eastAsia="zh-CN"/>
        </w:rPr>
        <w:t>★</w:t>
      </w:r>
      <w:r>
        <w:rPr>
          <w:rFonts w:hint="eastAsia" w:ascii="仿宋_GB2312" w:hAnsi="仿宋_GB2312" w:eastAsia="仿宋_GB2312" w:cs="仿宋_GB2312"/>
          <w:sz w:val="28"/>
          <w:szCs w:val="28"/>
          <w:lang w:val="en-US" w:eastAsia="zh-CN"/>
        </w:rPr>
        <w:t>8.推车四角带防撞包角，包角采用ABS工程塑料一次性注塑成型，输液杆插在包角上，包角采用专用工具可拆卸，外形美观。输液架插孔为方形插孔，防止输液架在变力过程中任意转动产生安全隐患；</w:t>
      </w:r>
    </w:p>
    <w:p w14:paraId="3FDA72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9.推车整体采用优质冷轧型材，自动焊接成型，确保整个床体结实、牢固，运行平稳。采用自动化喷涂设备进行喷涂，涂层均匀，具有抗菌，抗酸碱、耐腐蚀、耐褪色等特性；</w:t>
      </w:r>
    </w:p>
    <w:p w14:paraId="3AF6EF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推车配置伸缩式输液杆及床垫；整车带4只5寸高级中控脚轮，外罩包ABS防缠绕，坚固耐用，外表美观，推车尾端带中控脚踏开关，杠杆结构，灵巧操作；中央带定向轮，保证推车直线行走，脚踏控制，不用时可抬起悬空。</w:t>
      </w:r>
    </w:p>
    <w:p w14:paraId="2BA5B0B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7AFA9772-4A5E-41E5-9329-1D082A62ED0E}"/>
  </w:font>
  <w:font w:name="仿宋_GB2312">
    <w:panose1 w:val="02010609030101010101"/>
    <w:charset w:val="86"/>
    <w:family w:val="auto"/>
    <w:pitch w:val="default"/>
    <w:sig w:usb0="00000001" w:usb1="080E0000" w:usb2="00000000" w:usb3="00000000" w:csb0="00040000" w:csb1="00000000"/>
    <w:embedRegular r:id="rId2" w:fontKey="{BADE9D1B-D862-4253-898F-6D2008206E3F}"/>
  </w:font>
  <w:font w:name="微软雅黑">
    <w:panose1 w:val="020B0503020204020204"/>
    <w:charset w:val="86"/>
    <w:family w:val="auto"/>
    <w:pitch w:val="default"/>
    <w:sig w:usb0="80000287" w:usb1="080F3C52" w:usb2="00000016" w:usb3="00000000" w:csb0="0004001F" w:csb1="00000000"/>
    <w:embedRegular r:id="rId3" w:fontKey="{6AECCCD5-A9C5-41AC-8B8F-7DE7B232C0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0819E"/>
    <w:multiLevelType w:val="singleLevel"/>
    <w:tmpl w:val="9A40819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6529A"/>
    <w:rsid w:val="2F0E7FC2"/>
    <w:rsid w:val="3386529A"/>
    <w:rsid w:val="38E0479A"/>
    <w:rsid w:val="40BD1DF6"/>
    <w:rsid w:val="4E712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潮州市枫溪区机关及下属单位</Company>
  <Pages>14</Pages>
  <Words>6430</Words>
  <Characters>7172</Characters>
  <Lines>0</Lines>
  <Paragraphs>0</Paragraphs>
  <TotalTime>3</TotalTime>
  <ScaleCrop>false</ScaleCrop>
  <LinksUpToDate>false</LinksUpToDate>
  <CharactersWithSpaces>7175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2026-06-11T02:50:00Z</dcterms:created>
  <dc:creator>张旭鹏</dc:creator>
  <cp:lastModifiedBy>张旭鹏</cp:lastModifiedBy>
  <cp:lastPrinted>2026-06-11T08:10:00Z</cp:lastPrinted>
  <dcterms:modified xsi:type="dcterms:W3CDTF">2026-06-18T07:13:21Z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3AFFF15BE6B448BA83A9E0D7C9E1BBC3_11</vt:lpwstr>
  </property>
  <property fmtid="{D5CDD505-2E9C-101B-9397-08002B2CF9AE}" pid="4" name="KSOTemplateDocerSaveRecord">
    <vt:lpwstr>eyJoZGlkIjoiZDJhNDQyODc4MTEzYTJiYmQ0OWU4NzRmOWJhOGY1ZjEiLCJ1c2VySWQiOiIxNDU5MDA4NDU0In0=</vt:lpwstr>
  </property>
</Properties>
</file>