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公告（二次）</w:t>
      </w:r>
      <w:bookmarkStart w:id="2" w:name="_GoBack"/>
      <w:bookmarkEnd w:id="2"/>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因上年度合同到期，结合我院实际情况，现决定以院内比选方式遴选一批泌尿外科设备配套使用耗材供应商，欢迎符合资质的公司参加比选，现将比选有关事项公告如下：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泌尿外科设备配套使用耗材供应商遴选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ZY20260021</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28</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拟2026年7月29日上午10:30，如有变动，另行通知。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2026年7月22日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FF0000"/>
          <w:sz w:val="32"/>
          <w:szCs w:val="32"/>
          <w:lang w:eastAsia="zh-CN"/>
        </w:rPr>
        <w:t>该产品要求在贵州省药品和医用耗材招采管理系统中采购，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医用激光光纤</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color w:val="auto"/>
                <w:sz w:val="20"/>
                <w:szCs w:val="20"/>
                <w:u w:val="none"/>
                <w:lang w:val="en-US" w:eastAsia="zh-CN"/>
              </w:rPr>
              <w:t>无锡市大华激光设备有限公司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FF4A5">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条</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电切环</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卡尔史托斯内窥镜(上海)有限公司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041" w:type="dxa"/>
            <w:vMerge w:val="restart"/>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67858D06">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适用于卡尔史托斯内窥镜(上海)有限公司生产的型号为27005FA的双极前列腺电切镜</w:t>
            </w: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等离子体手术刀头(射频电极/消融电极)</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041" w:type="dxa"/>
            <w:vMerge w:val="continue"/>
            <w:tcBorders>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5</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43F1FA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6F5B2E6C">
      <w:pPr>
        <w:pStyle w:val="2"/>
        <w:keepNext w:val="0"/>
        <w:keepLines w:val="0"/>
        <w:pageBreakBefore w:val="0"/>
        <w:widowControl w:val="0"/>
        <w:kinsoku/>
        <w:wordWrap/>
        <w:overflowPunct/>
        <w:topLinePunct w:val="0"/>
        <w:autoSpaceDE/>
        <w:autoSpaceDN/>
        <w:bidi w:val="0"/>
        <w:adjustRightInd/>
        <w:snapToGrid/>
        <w:spacing w:before="182" w:line="56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公文小标宋" w:hAnsi="方正公文小标宋" w:eastAsia="方正公文小标宋" w:cs="方正公文小标宋"/>
          <w:spacing w:val="-3"/>
          <w:kern w:val="2"/>
          <w:sz w:val="44"/>
          <w:szCs w:val="44"/>
          <w:lang w:val="en-US" w:eastAsia="zh-CN" w:bidi="ar-SA"/>
        </w:rPr>
        <w:t>技术参数（医用激光光纤）</w:t>
      </w:r>
    </w:p>
    <w:p w14:paraId="2EAF4D5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5"/>
          <w:sz w:val="32"/>
          <w:szCs w:val="32"/>
        </w:rPr>
      </w:pPr>
      <w:r>
        <w:rPr>
          <w:rFonts w:hint="eastAsia" w:ascii="方正仿宋_GB2312" w:hAnsi="方正仿宋_GB2312" w:eastAsia="方正仿宋_GB2312" w:cs="方正仿宋_GB2312"/>
          <w:spacing w:val="-4"/>
          <w:sz w:val="32"/>
          <w:szCs w:val="32"/>
        </w:rPr>
        <w:t>光纤为石英材料制成，已通过生物相容性</w:t>
      </w:r>
      <w:r>
        <w:rPr>
          <w:rFonts w:hint="eastAsia" w:ascii="方正仿宋_GB2312" w:hAnsi="方正仿宋_GB2312" w:eastAsia="方正仿宋_GB2312" w:cs="方正仿宋_GB2312"/>
          <w:spacing w:val="-5"/>
          <w:sz w:val="32"/>
          <w:szCs w:val="32"/>
        </w:rPr>
        <w:t>试验，对人体无致敏反应、无毒性</w:t>
      </w:r>
      <w:r>
        <w:rPr>
          <w:rFonts w:hint="eastAsia" w:ascii="方正仿宋_GB2312" w:hAnsi="方正仿宋_GB2312" w:eastAsia="方正仿宋_GB2312" w:cs="方正仿宋_GB2312"/>
          <w:spacing w:val="-5"/>
          <w:sz w:val="32"/>
          <w:szCs w:val="32"/>
          <w:lang w:eastAsia="zh-CN"/>
        </w:rPr>
        <w:t>；</w:t>
      </w:r>
    </w:p>
    <w:p w14:paraId="553A71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5"/>
          <w:sz w:val="32"/>
          <w:szCs w:val="32"/>
        </w:rPr>
      </w:pPr>
      <w:r>
        <w:rPr>
          <w:rFonts w:hint="eastAsia" w:ascii="方正仿宋_GB2312" w:hAnsi="方正仿宋_GB2312" w:eastAsia="方正仿宋_GB2312" w:cs="方正仿宋_GB2312"/>
          <w:spacing w:val="-3"/>
          <w:kern w:val="2"/>
          <w:sz w:val="32"/>
          <w:szCs w:val="32"/>
          <w:lang w:val="en-US" w:eastAsia="zh-CN" w:bidi="ar-SA"/>
        </w:rPr>
        <w:t>☆2、</w:t>
      </w:r>
      <w:r>
        <w:rPr>
          <w:rFonts w:hint="eastAsia" w:ascii="方正仿宋_GB2312" w:hAnsi="方正仿宋_GB2312" w:eastAsia="方正仿宋_GB2312" w:cs="方正仿宋_GB2312"/>
          <w:sz w:val="32"/>
          <w:szCs w:val="32"/>
        </w:rPr>
        <w:t>主要结构组成：医用激光光纤由连接器、光纤丝、保护管三个部分组成。光</w:t>
      </w:r>
      <w:r>
        <w:rPr>
          <w:rFonts w:hint="eastAsia" w:ascii="方正仿宋_GB2312" w:hAnsi="方正仿宋_GB2312" w:eastAsia="方正仿宋_GB2312" w:cs="方正仿宋_GB2312"/>
          <w:spacing w:val="-3"/>
          <w:sz w:val="32"/>
          <w:szCs w:val="32"/>
        </w:rPr>
        <w:t>纤丝采用熔融石英材料，连接器采用铜和不锈钢材料，保护管采用硅橡胶材料制</w:t>
      </w:r>
      <w:r>
        <w:rPr>
          <w:rFonts w:hint="eastAsia" w:ascii="方正仿宋_GB2312" w:hAnsi="方正仿宋_GB2312" w:eastAsia="方正仿宋_GB2312" w:cs="方正仿宋_GB2312"/>
          <w:spacing w:val="-2"/>
          <w:sz w:val="32"/>
          <w:szCs w:val="32"/>
        </w:rPr>
        <w:t>成。接口为SMA905</w:t>
      </w:r>
      <w:r>
        <w:rPr>
          <w:rFonts w:hint="eastAsia" w:ascii="方正仿宋_GB2312" w:hAnsi="方正仿宋_GB2312" w:eastAsia="方正仿宋_GB2312" w:cs="方正仿宋_GB2312"/>
          <w:spacing w:val="-50"/>
          <w:sz w:val="32"/>
          <w:szCs w:val="32"/>
        </w:rPr>
        <w:t xml:space="preserve"> </w:t>
      </w:r>
      <w:r>
        <w:rPr>
          <w:rFonts w:hint="eastAsia" w:ascii="方正仿宋_GB2312" w:hAnsi="方正仿宋_GB2312" w:eastAsia="方正仿宋_GB2312" w:cs="方正仿宋_GB2312"/>
          <w:spacing w:val="-2"/>
          <w:sz w:val="32"/>
          <w:szCs w:val="32"/>
        </w:rPr>
        <w:t>标准接口</w:t>
      </w:r>
      <w:r>
        <w:rPr>
          <w:rFonts w:hint="eastAsia" w:ascii="方正仿宋_GB2312" w:hAnsi="方正仿宋_GB2312" w:eastAsia="方正仿宋_GB2312" w:cs="方正仿宋_GB2312"/>
          <w:spacing w:val="-2"/>
          <w:sz w:val="32"/>
          <w:szCs w:val="32"/>
          <w:lang w:eastAsia="zh-CN"/>
        </w:rPr>
        <w:t>；</w:t>
      </w:r>
    </w:p>
    <w:p w14:paraId="426CD929">
      <w:pPr>
        <w:pStyle w:val="2"/>
        <w:keepNext w:val="0"/>
        <w:keepLines w:val="0"/>
        <w:pageBreakBefore w:val="0"/>
        <w:widowControl w:val="0"/>
        <w:kinsoku/>
        <w:wordWrap/>
        <w:overflowPunct/>
        <w:topLinePunct w:val="0"/>
        <w:autoSpaceDE/>
        <w:autoSpaceDN/>
        <w:bidi w:val="0"/>
        <w:adjustRightInd/>
        <w:snapToGrid/>
        <w:spacing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3、产品性能、参数；</w:t>
      </w:r>
    </w:p>
    <w:p w14:paraId="57EFCBCA">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3.1总长度：不小于3米；</w:t>
      </w:r>
    </w:p>
    <w:p w14:paraId="687D1F1D">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3.2纤芯直径（见表1）；</w:t>
      </w:r>
    </w:p>
    <w:p w14:paraId="3E49464C">
      <w:pPr>
        <w:pStyle w:val="2"/>
        <w:keepNext w:val="0"/>
        <w:keepLines w:val="0"/>
        <w:pageBreakBefore w:val="0"/>
        <w:widowControl w:val="0"/>
        <w:kinsoku/>
        <w:wordWrap/>
        <w:overflowPunct/>
        <w:topLinePunct w:val="0"/>
        <w:autoSpaceDE/>
        <w:autoSpaceDN/>
        <w:bidi w:val="0"/>
        <w:adjustRightInd/>
        <w:snapToGrid/>
        <w:spacing w:before="184"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3.3光纤适用的波长：2100nm；</w:t>
      </w:r>
    </w:p>
    <w:p w14:paraId="0F5D6FD2">
      <w:pPr>
        <w:pStyle w:val="2"/>
        <w:keepNext w:val="0"/>
        <w:keepLines w:val="0"/>
        <w:pageBreakBefore w:val="0"/>
        <w:widowControl w:val="0"/>
        <w:kinsoku/>
        <w:wordWrap/>
        <w:overflowPunct/>
        <w:topLinePunct w:val="0"/>
        <w:autoSpaceDE/>
        <w:autoSpaceDN/>
        <w:bidi w:val="0"/>
        <w:adjustRightInd/>
        <w:snapToGrid/>
        <w:spacing w:before="182"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3.4对应波长的最低传输效率不小于85%；</w:t>
      </w:r>
    </w:p>
    <w:p w14:paraId="28F3FC8E">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3.5最大传输功率（见表1）；</w:t>
      </w:r>
    </w:p>
    <w:p w14:paraId="7B1E6195">
      <w:pPr>
        <w:pStyle w:val="2"/>
        <w:keepNext w:val="0"/>
        <w:keepLines w:val="0"/>
        <w:pageBreakBefore w:val="0"/>
        <w:widowControl w:val="0"/>
        <w:kinsoku/>
        <w:wordWrap/>
        <w:overflowPunct/>
        <w:topLinePunct w:val="0"/>
        <w:autoSpaceDE/>
        <w:autoSpaceDN/>
        <w:bidi w:val="0"/>
        <w:adjustRightInd/>
        <w:snapToGrid/>
        <w:spacing w:before="184"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3.6光纤抗拉强度（见表1）；</w:t>
      </w:r>
    </w:p>
    <w:p w14:paraId="324F12CB">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3.7光纤最小弯曲工作半径（见表1）</w:t>
      </w:r>
    </w:p>
    <w:tbl>
      <w:tblPr>
        <w:tblStyle w:val="17"/>
        <w:tblW w:w="9137"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711"/>
        <w:gridCol w:w="2008"/>
        <w:gridCol w:w="2436"/>
        <w:gridCol w:w="2145"/>
      </w:tblGrid>
      <w:tr w14:paraId="2F50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837" w:type="dxa"/>
            <w:noWrap w:val="0"/>
            <w:vAlign w:val="center"/>
          </w:tcPr>
          <w:p w14:paraId="0A3CD344">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序号</w:t>
            </w:r>
          </w:p>
        </w:tc>
        <w:tc>
          <w:tcPr>
            <w:tcW w:w="1711" w:type="dxa"/>
            <w:noWrap w:val="0"/>
            <w:vAlign w:val="center"/>
          </w:tcPr>
          <w:p w14:paraId="12412F94">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光纤芯径</w:t>
            </w:r>
          </w:p>
          <w:p w14:paraId="52849A2D">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(μm)</w:t>
            </w:r>
          </w:p>
        </w:tc>
        <w:tc>
          <w:tcPr>
            <w:tcW w:w="2008" w:type="dxa"/>
            <w:noWrap w:val="0"/>
            <w:vAlign w:val="center"/>
          </w:tcPr>
          <w:p w14:paraId="437874D3">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抗拉强度</w:t>
            </w:r>
          </w:p>
          <w:p w14:paraId="61B4E09C">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(N)</w:t>
            </w:r>
          </w:p>
        </w:tc>
        <w:tc>
          <w:tcPr>
            <w:tcW w:w="2436" w:type="dxa"/>
            <w:noWrap w:val="0"/>
            <w:vAlign w:val="center"/>
          </w:tcPr>
          <w:p w14:paraId="0FC8C37A">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最大传输功率</w:t>
            </w:r>
          </w:p>
          <w:p w14:paraId="3D986EAF">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(W)</w:t>
            </w:r>
          </w:p>
        </w:tc>
        <w:tc>
          <w:tcPr>
            <w:tcW w:w="2145" w:type="dxa"/>
            <w:noWrap w:val="0"/>
            <w:vAlign w:val="center"/>
          </w:tcPr>
          <w:p w14:paraId="0378FAED">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最小弯曲工作半径（mm）</w:t>
            </w:r>
          </w:p>
        </w:tc>
      </w:tr>
      <w:tr w14:paraId="25E7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7" w:type="dxa"/>
            <w:noWrap w:val="0"/>
            <w:vAlign w:val="top"/>
          </w:tcPr>
          <w:p w14:paraId="43668EF4">
            <w:pPr>
              <w:pStyle w:val="16"/>
              <w:spacing w:before="141" w:line="270" w:lineRule="exact"/>
              <w:ind w:left="30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1</w:t>
            </w:r>
          </w:p>
        </w:tc>
        <w:tc>
          <w:tcPr>
            <w:tcW w:w="1711" w:type="dxa"/>
            <w:noWrap w:val="0"/>
            <w:vAlign w:val="top"/>
          </w:tcPr>
          <w:p w14:paraId="33B6E2C5">
            <w:pPr>
              <w:pStyle w:val="16"/>
              <w:spacing w:before="141" w:line="268" w:lineRule="exact"/>
              <w:ind w:left="66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position w:val="1"/>
                <w:sz w:val="32"/>
                <w:szCs w:val="32"/>
              </w:rPr>
              <w:t>200</w:t>
            </w:r>
          </w:p>
        </w:tc>
        <w:tc>
          <w:tcPr>
            <w:tcW w:w="2008" w:type="dxa"/>
            <w:noWrap w:val="0"/>
            <w:vAlign w:val="top"/>
          </w:tcPr>
          <w:p w14:paraId="6554971B">
            <w:pPr>
              <w:pStyle w:val="16"/>
              <w:spacing w:before="141" w:line="268" w:lineRule="exact"/>
              <w:ind w:left="62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5</w:t>
            </w:r>
          </w:p>
        </w:tc>
        <w:tc>
          <w:tcPr>
            <w:tcW w:w="2436" w:type="dxa"/>
            <w:noWrap w:val="0"/>
            <w:vAlign w:val="top"/>
          </w:tcPr>
          <w:p w14:paraId="3FC60C23">
            <w:pPr>
              <w:pStyle w:val="16"/>
              <w:spacing w:before="141" w:line="268" w:lineRule="exact"/>
              <w:ind w:left="8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position w:val="1"/>
                <w:sz w:val="32"/>
                <w:szCs w:val="32"/>
              </w:rPr>
              <w:t>48</w:t>
            </w:r>
          </w:p>
        </w:tc>
        <w:tc>
          <w:tcPr>
            <w:tcW w:w="2145" w:type="dxa"/>
            <w:noWrap w:val="0"/>
            <w:vAlign w:val="top"/>
          </w:tcPr>
          <w:p w14:paraId="20C02D01">
            <w:pPr>
              <w:pStyle w:val="16"/>
              <w:spacing w:before="141" w:line="268" w:lineRule="exact"/>
              <w:ind w:left="102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position w:val="1"/>
                <w:sz w:val="32"/>
                <w:szCs w:val="32"/>
                <w:lang w:eastAsia="zh-CN"/>
              </w:rPr>
              <w:t>≥</w:t>
            </w:r>
            <w:r>
              <w:rPr>
                <w:rFonts w:hint="eastAsia" w:ascii="方正仿宋_GB2312" w:hAnsi="方正仿宋_GB2312" w:eastAsia="方正仿宋_GB2312" w:cs="方正仿宋_GB2312"/>
                <w:spacing w:val="-2"/>
                <w:position w:val="1"/>
                <w:sz w:val="32"/>
                <w:szCs w:val="32"/>
              </w:rPr>
              <w:t>30</w:t>
            </w:r>
          </w:p>
        </w:tc>
      </w:tr>
      <w:tr w14:paraId="0982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837" w:type="dxa"/>
            <w:noWrap w:val="0"/>
            <w:vAlign w:val="top"/>
          </w:tcPr>
          <w:p w14:paraId="7554AEEC">
            <w:pPr>
              <w:pStyle w:val="16"/>
              <w:spacing w:before="144" w:line="270" w:lineRule="exact"/>
              <w:ind w:left="29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2</w:t>
            </w:r>
          </w:p>
        </w:tc>
        <w:tc>
          <w:tcPr>
            <w:tcW w:w="1711" w:type="dxa"/>
            <w:noWrap w:val="0"/>
            <w:vAlign w:val="top"/>
          </w:tcPr>
          <w:p w14:paraId="0CBF7781">
            <w:pPr>
              <w:pStyle w:val="16"/>
              <w:spacing w:before="116" w:line="268" w:lineRule="exact"/>
              <w:ind w:left="669"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1"/>
                <w:position w:val="1"/>
                <w:sz w:val="32"/>
                <w:szCs w:val="32"/>
              </w:rPr>
              <w:t>550</w:t>
            </w:r>
          </w:p>
        </w:tc>
        <w:tc>
          <w:tcPr>
            <w:tcW w:w="2008" w:type="dxa"/>
            <w:noWrap w:val="0"/>
            <w:vAlign w:val="top"/>
          </w:tcPr>
          <w:p w14:paraId="28E32516">
            <w:pPr>
              <w:pStyle w:val="16"/>
              <w:spacing w:before="116" w:line="268" w:lineRule="exact"/>
              <w:ind w:left="623"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position w:val="1"/>
                <w:sz w:val="32"/>
                <w:szCs w:val="32"/>
              </w:rPr>
              <w:t>8</w:t>
            </w:r>
          </w:p>
        </w:tc>
        <w:tc>
          <w:tcPr>
            <w:tcW w:w="2436" w:type="dxa"/>
            <w:noWrap w:val="0"/>
            <w:vAlign w:val="top"/>
          </w:tcPr>
          <w:p w14:paraId="3CC6973C">
            <w:pPr>
              <w:pStyle w:val="16"/>
              <w:spacing w:before="116" w:line="268" w:lineRule="exact"/>
              <w:ind w:left="781"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3"/>
                <w:position w:val="1"/>
                <w:sz w:val="32"/>
                <w:szCs w:val="32"/>
              </w:rPr>
              <w:t>100</w:t>
            </w:r>
          </w:p>
        </w:tc>
        <w:tc>
          <w:tcPr>
            <w:tcW w:w="2145" w:type="dxa"/>
            <w:noWrap w:val="0"/>
            <w:vAlign w:val="top"/>
          </w:tcPr>
          <w:p w14:paraId="2E7F0F1A">
            <w:pPr>
              <w:pStyle w:val="16"/>
              <w:spacing w:before="116" w:line="268" w:lineRule="exact"/>
              <w:ind w:left="1021"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2"/>
                <w:position w:val="1"/>
                <w:sz w:val="32"/>
                <w:szCs w:val="32"/>
                <w:lang w:eastAsia="zh-CN"/>
              </w:rPr>
              <w:t>≥</w:t>
            </w:r>
            <w:r>
              <w:rPr>
                <w:rFonts w:hint="eastAsia" w:ascii="方正仿宋_GB2312" w:hAnsi="方正仿宋_GB2312" w:eastAsia="方正仿宋_GB2312" w:cs="方正仿宋_GB2312"/>
                <w:position w:val="1"/>
                <w:sz w:val="32"/>
                <w:szCs w:val="32"/>
              </w:rPr>
              <w:t>90</w:t>
            </w:r>
          </w:p>
        </w:tc>
      </w:tr>
    </w:tbl>
    <w:p w14:paraId="23F524FE">
      <w:pPr>
        <w:pStyle w:val="2"/>
        <w:keepNext w:val="0"/>
        <w:keepLines w:val="0"/>
        <w:pageBreakBefore w:val="0"/>
        <w:widowControl w:val="0"/>
        <w:kinsoku/>
        <w:wordWrap/>
        <w:overflowPunct/>
        <w:topLinePunct w:val="0"/>
        <w:autoSpaceDE/>
        <w:autoSpaceDN/>
        <w:bidi w:val="0"/>
        <w:adjustRightInd/>
        <w:snapToGrid/>
        <w:spacing w:before="182" w:line="560" w:lineRule="exact"/>
        <w:ind w:left="28"/>
        <w:textAlignment w:val="auto"/>
        <w:rPr>
          <w:rFonts w:hint="eastAsia" w:ascii="方正公文小标宋" w:hAnsi="方正公文小标宋" w:eastAsia="方正公文小标宋" w:cs="方正公文小标宋"/>
          <w:spacing w:val="-3"/>
          <w:kern w:val="2"/>
          <w:sz w:val="44"/>
          <w:szCs w:val="44"/>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☆4、本次采购的激光光纤需要与院方在用的无锡市大华激光设备有限公司生产的型号为DHL-1-F医用钬激光碎石机配套使用。</w:t>
      </w:r>
    </w:p>
    <w:p w14:paraId="339C2B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8E5E625">
      <w:pPr>
        <w:pStyle w:val="2"/>
        <w:keepNext w:val="0"/>
        <w:keepLines w:val="0"/>
        <w:pageBreakBefore w:val="0"/>
        <w:widowControl w:val="0"/>
        <w:kinsoku/>
        <w:wordWrap/>
        <w:overflowPunct/>
        <w:topLinePunct w:val="0"/>
        <w:autoSpaceDE/>
        <w:autoSpaceDN/>
        <w:bidi w:val="0"/>
        <w:adjustRightInd/>
        <w:snapToGrid/>
        <w:spacing w:before="182" w:line="560" w:lineRule="exact"/>
        <w:jc w:val="center"/>
        <w:textAlignment w:val="auto"/>
        <w:rPr>
          <w:rFonts w:hint="eastAsia" w:ascii="方正公文小标宋" w:hAnsi="方正公文小标宋" w:eastAsia="方正公文小标宋" w:cs="方正公文小标宋"/>
          <w:spacing w:val="-3"/>
          <w:kern w:val="2"/>
          <w:sz w:val="44"/>
          <w:szCs w:val="44"/>
          <w:lang w:val="en-US" w:eastAsia="zh-CN" w:bidi="ar-SA"/>
        </w:rPr>
      </w:pPr>
      <w:r>
        <w:rPr>
          <w:rFonts w:hint="eastAsia" w:ascii="方正公文小标宋" w:hAnsi="方正公文小标宋" w:eastAsia="方正公文小标宋" w:cs="方正公文小标宋"/>
          <w:spacing w:val="-3"/>
          <w:kern w:val="2"/>
          <w:sz w:val="44"/>
          <w:szCs w:val="44"/>
          <w:lang w:val="en-US" w:eastAsia="zh-CN" w:bidi="ar-SA"/>
        </w:rPr>
        <w:t>技术参数（前列腺电切镜附件电切环）</w:t>
      </w:r>
    </w:p>
    <w:p w14:paraId="01F9CCCD">
      <w:pPr>
        <w:pStyle w:val="2"/>
        <w:keepNext w:val="0"/>
        <w:keepLines w:val="0"/>
        <w:pageBreakBefore w:val="0"/>
        <w:widowControl w:val="0"/>
        <w:kinsoku/>
        <w:wordWrap/>
        <w:overflowPunct/>
        <w:topLinePunct w:val="0"/>
        <w:autoSpaceDE/>
        <w:autoSpaceDN/>
        <w:bidi w:val="0"/>
        <w:adjustRightInd/>
        <w:snapToGrid/>
        <w:spacing w:before="182" w:line="560" w:lineRule="exact"/>
        <w:jc w:val="both"/>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一、可重复消毒类</w:t>
      </w:r>
    </w:p>
    <w:p w14:paraId="02B75780">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☆双极电切环，尺寸8mm，回流电极为丝状，配合26Fr电切镜，重复消毒使用；该产品与前列腺电切镜组合使用，适用于前列腺内镜手术中的检查、诊断和治疗。</w:t>
      </w:r>
    </w:p>
    <w:p w14:paraId="4EDAFC8B">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二、一次性使用类（等离子体手术刀头(射频电极/消融电极)）</w:t>
      </w:r>
    </w:p>
    <w:p w14:paraId="58EB2C0F">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1.结构及组成/主要组成成分：该产品主要由电极、手柄、连接器、电缆线组成；选配件:引导针、导丝、斜口工作套管、锥形扩张导管、环钻和等离子体切割刀头。引导针由针座、衬芯座、内针、外针管和保护套组成；斜口工作套管、锥形扩张导管和环钻由手柄和外管组成。其中A系列型号为无菌一次性等离子刀头；</w:t>
      </w:r>
    </w:p>
    <w:p w14:paraId="62574717">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适用范围/预期用途：该产品与低温等离子体多功能手术系统、射频主机、高频手术治疗仪等设备连接使用，适用于对软组织进行汽化、切割、消融和凝血；</w:t>
      </w:r>
    </w:p>
    <w:p w14:paraId="3CD69566">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☆具体参数：手术电极直径1.0mm；手术前端角度0°；手术电极长度280mm</w:t>
      </w:r>
    </w:p>
    <w:p w14:paraId="1F81C537">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☆以上两类均需要适用于卡尔史托斯内窥镜(上海)有限公司生产的型号为27005FA的双极前列腺电切镜。</w:t>
      </w:r>
    </w:p>
    <w:p w14:paraId="307A0FA4">
      <w:pPr>
        <w:pStyle w:val="2"/>
        <w:rPr>
          <w:rFonts w:hint="eastAsia"/>
          <w:lang w:val="en-US" w:eastAsia="zh-CN"/>
        </w:rPr>
      </w:pPr>
    </w:p>
    <w:p w14:paraId="076DE6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2CCA9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5A1E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eastAsiaTheme="minorEastAsia"/>
                <w:iCs/>
                <w:color w:val="000000" w:themeColor="text1"/>
                <w:lang w:val="en-US" w:eastAsia="zh-CN"/>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30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3660D57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依据各参选人参选产品的主要技术指标、参数及性能等情况，以及与参选文件技术要求的偏离程度等进行评审</w:t>
            </w:r>
          </w:p>
          <w:p w14:paraId="31712B0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 参选产品全部技术参数符合或优于比选技术参数，得20分；</w:t>
            </w:r>
          </w:p>
          <w:p w14:paraId="7A4CB6E7">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2.技术要求内“☆”号项为关键指标，负偏离的每项减4分，扣完为止。</w:t>
            </w:r>
          </w:p>
          <w:p w14:paraId="499374E9">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 xml:space="preserve">3.非“☆”一项技术参数负偏离的每每项减1分，扣完为止。                                                                                                                                                                                                                                                     </w:t>
            </w:r>
          </w:p>
          <w:p w14:paraId="076D7803">
            <w:pPr>
              <w:spacing w:line="300" w:lineRule="exact"/>
              <w:rPr>
                <w:rFonts w:hint="eastAsia" w:cs="宋体"/>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注：参选供应商在中选后，提供产品若与本项目比选文件中产品不符或者劣于参选文件中产品性能，将被取消其中选资格，造成严重后果的，追究其相关法律责任。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依据各参选人比选文件中的医用耗材27位医保编码及承诺书内容进行打分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10分（含近效期及过期产品）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4"/>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提供全部样品得5分，不提供或提供不全不得分。</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99C3F6D">
            <w:pPr>
              <w:rPr>
                <w:rFonts w:hint="eastAsia"/>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A2BA54-8768-4BF7-B7DA-E60290DE7B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6B0103-1852-495E-9B03-7AE73FBCC491}"/>
  </w:font>
  <w:font w:name="仿宋_GB2312">
    <w:panose1 w:val="02010609030101010101"/>
    <w:charset w:val="86"/>
    <w:family w:val="modern"/>
    <w:pitch w:val="default"/>
    <w:sig w:usb0="00000001" w:usb1="080E0000" w:usb2="00000000" w:usb3="00000000" w:csb0="00040000" w:csb1="00000000"/>
    <w:embedRegular r:id="rId3" w:fontKey="{6EF4268E-942F-487E-8126-69A967F57B91}"/>
  </w:font>
  <w:font w:name="方正公文小标宋">
    <w:panose1 w:val="02000500000000000000"/>
    <w:charset w:val="86"/>
    <w:family w:val="auto"/>
    <w:pitch w:val="default"/>
    <w:sig w:usb0="A00002BF" w:usb1="38CF7CFA" w:usb2="00000016" w:usb3="00000000" w:csb0="00040001" w:csb1="00000000"/>
    <w:embedRegular r:id="rId4" w:fontKey="{C7092DEA-EA96-498A-828A-13E99D73A6F0}"/>
  </w:font>
  <w:font w:name="方正仿宋_GB2312">
    <w:panose1 w:val="02000000000000000000"/>
    <w:charset w:val="86"/>
    <w:family w:val="auto"/>
    <w:pitch w:val="default"/>
    <w:sig w:usb0="A00002BF" w:usb1="184F6CFA" w:usb2="00000012" w:usb3="00000000" w:csb0="00040001" w:csb1="00000000"/>
    <w:embedRegular r:id="rId5" w:fontKey="{43B074FF-06AB-492A-BB5B-2B80F3950659}"/>
  </w:font>
  <w:font w:name="仿宋">
    <w:panose1 w:val="02010609060101010101"/>
    <w:charset w:val="86"/>
    <w:family w:val="auto"/>
    <w:pitch w:val="default"/>
    <w:sig w:usb0="800002BF" w:usb1="38CF7CFA" w:usb2="00000016" w:usb3="00000000" w:csb0="00040001" w:csb1="00000000"/>
    <w:embedRegular r:id="rId6" w:fontKey="{FB37A39A-0FAA-453D-8C7B-B753C5AB5D55}"/>
  </w:font>
  <w:font w:name="仿宋GB2312">
    <w:altName w:val="仿宋"/>
    <w:panose1 w:val="00000000000000000000"/>
    <w:charset w:val="00"/>
    <w:family w:val="auto"/>
    <w:pitch w:val="default"/>
    <w:sig w:usb0="00000000" w:usb1="00000000" w:usb2="00000000" w:usb3="00000000" w:csb0="00040001" w:csb1="00000000"/>
    <w:embedRegular r:id="rId7" w:fontKey="{BE7E4A66-4EF2-418E-871D-F889695302BC}"/>
  </w:font>
  <w:font w:name="楷体">
    <w:panose1 w:val="02010609060101010101"/>
    <w:charset w:val="86"/>
    <w:family w:val="modern"/>
    <w:pitch w:val="default"/>
    <w:sig w:usb0="800002BF" w:usb1="38CF7CFA" w:usb2="00000016" w:usb3="00000000" w:csb0="00040001" w:csb1="00000000"/>
    <w:embedRegular r:id="rId8" w:fontKey="{911CF44B-EACD-4CA5-938C-C4BFA371BD8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BCB46CB2"/>
    <w:multiLevelType w:val="singleLevel"/>
    <w:tmpl w:val="BCB46CB2"/>
    <w:lvl w:ilvl="0" w:tentative="0">
      <w:start w:val="1"/>
      <w:numFmt w:val="decimal"/>
      <w:suff w:val="nothing"/>
      <w:lvlText w:val="%1、"/>
      <w:lvlJc w:val="left"/>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573904"/>
    <w:multiLevelType w:val="singleLevel"/>
    <w:tmpl w:val="6A573904"/>
    <w:lvl w:ilvl="0" w:tentative="0">
      <w:start w:val="1"/>
      <w:numFmt w:val="decimal"/>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07C47EA"/>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3F092C"/>
    <w:rsid w:val="5AA44B24"/>
    <w:rsid w:val="5AD47EB1"/>
    <w:rsid w:val="5AF97062"/>
    <w:rsid w:val="5B2C260E"/>
    <w:rsid w:val="5B433C86"/>
    <w:rsid w:val="5CAC29FB"/>
    <w:rsid w:val="5D687E05"/>
    <w:rsid w:val="5F67483F"/>
    <w:rsid w:val="5FE86FDF"/>
    <w:rsid w:val="60621B53"/>
    <w:rsid w:val="60D64762"/>
    <w:rsid w:val="61173CD8"/>
    <w:rsid w:val="628D15B5"/>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4372</Words>
  <Characters>4600</Characters>
  <Lines>0</Lines>
  <Paragraphs>0</Paragraphs>
  <TotalTime>7</TotalTime>
  <ScaleCrop>false</ScaleCrop>
  <LinksUpToDate>false</LinksUpToDate>
  <CharactersWithSpaces>4923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2026-07-22T08:58:30Z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